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221"/>
        <w:gridCol w:w="3224"/>
        <w:gridCol w:w="3161"/>
      </w:tblGrid>
      <w:tr w:rsidR="001709CD" w14:paraId="6755BFDC" w14:textId="77777777">
        <w:trPr>
          <w:trHeight w:val="398"/>
        </w:trPr>
        <w:tc>
          <w:tcPr>
            <w:tcW w:w="96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B25438" w14:textId="77777777" w:rsidR="001709CD" w:rsidRDefault="00D84C01">
            <w:pPr>
              <w:suppressAutoHyphens/>
              <w:spacing w:line="366" w:lineRule="atLeast"/>
              <w:jc w:val="center"/>
              <w:rPr>
                <w:rFonts w:ascii="ＭＳ ゴシック" w:eastAsia="ＭＳ ゴシック" w:hAnsi="ＭＳ ゴシック"/>
                <w:szCs w:val="21"/>
              </w:rPr>
            </w:pPr>
            <w:r>
              <w:rPr>
                <w:rFonts w:ascii="ＭＳ ゴシック" w:eastAsia="ＭＳ ゴシック" w:hAnsi="ＭＳ ゴシック"/>
                <w:szCs w:val="21"/>
              </w:rPr>
              <w:t>認定権者記載欄</w:t>
            </w:r>
          </w:p>
        </w:tc>
      </w:tr>
      <w:tr w:rsidR="001709CD" w14:paraId="765EABA1" w14:textId="77777777">
        <w:trPr>
          <w:trHeight w:val="53"/>
        </w:trPr>
        <w:tc>
          <w:tcPr>
            <w:tcW w:w="3221" w:type="dxa"/>
            <w:tcBorders>
              <w:top w:val="single" w:sz="18" w:space="0" w:color="00000A"/>
              <w:left w:val="single" w:sz="18" w:space="0" w:color="00000A"/>
              <w:bottom w:val="single" w:sz="18" w:space="0" w:color="00000A"/>
              <w:right w:val="single" w:sz="18" w:space="0" w:color="00000A"/>
            </w:tcBorders>
            <w:shd w:val="clear" w:color="auto" w:fill="auto"/>
            <w:tcMar>
              <w:left w:w="90" w:type="dxa"/>
            </w:tcMar>
          </w:tcPr>
          <w:p w14:paraId="5FAE3AC1" w14:textId="77777777" w:rsidR="001709CD" w:rsidRDefault="001709CD">
            <w:pPr>
              <w:suppressAutoHyphens/>
              <w:spacing w:line="366" w:lineRule="atLeast"/>
              <w:jc w:val="left"/>
              <w:rPr>
                <w:rFonts w:ascii="ＭＳ ゴシック" w:eastAsia="ＭＳ ゴシック" w:hAnsi="ＭＳ ゴシック"/>
                <w:szCs w:val="21"/>
              </w:rPr>
            </w:pPr>
          </w:p>
        </w:tc>
        <w:tc>
          <w:tcPr>
            <w:tcW w:w="3224" w:type="dxa"/>
            <w:tcBorders>
              <w:top w:val="single" w:sz="4" w:space="0" w:color="00000A"/>
              <w:left w:val="single" w:sz="18" w:space="0" w:color="00000A"/>
              <w:bottom w:val="single" w:sz="4" w:space="0" w:color="00000A"/>
              <w:right w:val="single" w:sz="4" w:space="0" w:color="00000A"/>
            </w:tcBorders>
            <w:shd w:val="clear" w:color="auto" w:fill="auto"/>
            <w:tcMar>
              <w:left w:w="90" w:type="dxa"/>
            </w:tcMar>
          </w:tcPr>
          <w:p w14:paraId="3A10E42B" w14:textId="77777777" w:rsidR="001709CD" w:rsidRDefault="001709CD">
            <w:pPr>
              <w:suppressAutoHyphens/>
              <w:spacing w:line="366" w:lineRule="atLeast"/>
              <w:jc w:val="left"/>
              <w:rPr>
                <w:rFonts w:ascii="ＭＳ ゴシック" w:eastAsia="ＭＳ ゴシック" w:hAnsi="ＭＳ ゴシック"/>
                <w:szCs w:val="21"/>
              </w:rPr>
            </w:pPr>
          </w:p>
        </w:tc>
        <w:tc>
          <w:tcPr>
            <w:tcW w:w="31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0E083C" w14:textId="77777777" w:rsidR="001709CD" w:rsidRDefault="001709CD">
            <w:pPr>
              <w:suppressAutoHyphens/>
              <w:spacing w:line="366" w:lineRule="atLeast"/>
              <w:jc w:val="left"/>
              <w:rPr>
                <w:rFonts w:ascii="ＭＳ ゴシック" w:eastAsia="ＭＳ ゴシック" w:hAnsi="ＭＳ ゴシック"/>
                <w:szCs w:val="21"/>
              </w:rPr>
            </w:pPr>
          </w:p>
        </w:tc>
      </w:tr>
    </w:tbl>
    <w:p w14:paraId="28EB246B" w14:textId="77777777" w:rsidR="001709CD" w:rsidRDefault="00D84C01">
      <w:pPr>
        <w:suppressAutoHyphens/>
        <w:spacing w:line="366" w:lineRule="atLeast"/>
        <w:jc w:val="left"/>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様式第５－（ロ）－③</w:t>
      </w:r>
    </w:p>
    <w:tbl>
      <w:tblPr>
        <w:tblW w:w="9610" w:type="dxa"/>
        <w:tblInd w:w="-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9610"/>
      </w:tblGrid>
      <w:tr w:rsidR="001709CD" w14:paraId="025ABCE9" w14:textId="77777777">
        <w:tc>
          <w:tcPr>
            <w:tcW w:w="961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14:paraId="5FE0EA1F" w14:textId="77777777" w:rsidR="001709CD" w:rsidRDefault="001709CD">
            <w:pPr>
              <w:suppressAutoHyphens/>
              <w:spacing w:line="60" w:lineRule="exact"/>
              <w:jc w:val="left"/>
              <w:textAlignment w:val="baseline"/>
              <w:rPr>
                <w:rFonts w:ascii="ＭＳ ゴシック" w:eastAsia="ＭＳ ゴシック" w:hAnsi="ＭＳ ゴシック"/>
                <w:color w:val="000000"/>
                <w:spacing w:val="16"/>
                <w:kern w:val="0"/>
                <w:szCs w:val="21"/>
              </w:rPr>
            </w:pPr>
          </w:p>
          <w:p w14:paraId="52828B84" w14:textId="77777777" w:rsidR="001709CD" w:rsidRDefault="00D84C01">
            <w:pPr>
              <w:suppressAutoHyphens/>
              <w:spacing w:line="240" w:lineRule="exact"/>
              <w:jc w:val="center"/>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中小企業信用保険法第２条第５項第５号の規定による認定申請書（ロ－③）</w:t>
            </w:r>
          </w:p>
          <w:p w14:paraId="752F2223" w14:textId="77777777" w:rsidR="001709CD" w:rsidRDefault="001709CD">
            <w:pPr>
              <w:suppressAutoHyphens/>
              <w:spacing w:line="60" w:lineRule="exact"/>
              <w:jc w:val="left"/>
              <w:textAlignment w:val="baseline"/>
              <w:rPr>
                <w:rFonts w:ascii="ＭＳ ゴシック" w:eastAsia="ＭＳ ゴシック" w:hAnsi="ＭＳ ゴシック"/>
                <w:color w:val="000000"/>
                <w:spacing w:val="16"/>
                <w:kern w:val="0"/>
                <w:szCs w:val="21"/>
              </w:rPr>
            </w:pPr>
          </w:p>
          <w:p w14:paraId="2C3D9B17" w14:textId="77777777" w:rsidR="001709CD" w:rsidRDefault="00D84C01">
            <w:pPr>
              <w:suppressAutoHyphens/>
              <w:spacing w:line="240" w:lineRule="exact"/>
              <w:ind w:right="695"/>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年　　月　　日</w:t>
            </w:r>
          </w:p>
          <w:p w14:paraId="52739D4B" w14:textId="77777777" w:rsidR="001709CD" w:rsidRDefault="001709CD">
            <w:pPr>
              <w:suppressAutoHyphens/>
              <w:spacing w:line="60" w:lineRule="exact"/>
              <w:jc w:val="left"/>
              <w:textAlignment w:val="baseline"/>
              <w:rPr>
                <w:rFonts w:ascii="ＭＳ ゴシック" w:eastAsia="ＭＳ ゴシック" w:hAnsi="ＭＳ ゴシック"/>
                <w:color w:val="000000"/>
                <w:spacing w:val="16"/>
                <w:kern w:val="0"/>
                <w:szCs w:val="21"/>
              </w:rPr>
            </w:pPr>
          </w:p>
          <w:p w14:paraId="38661B37" w14:textId="77777777" w:rsidR="001709CD" w:rsidRDefault="00D84C01">
            <w:pPr>
              <w:suppressAutoHyphens/>
              <w:spacing w:line="240" w:lineRule="exact"/>
              <w:jc w:val="left"/>
              <w:textAlignment w:val="baseline"/>
            </w:pPr>
            <w:r>
              <w:rPr>
                <w:rFonts w:ascii="ＭＳ ゴシック" w:eastAsia="ＭＳ ゴシック" w:hAnsi="ＭＳ ゴシック" w:cs="ＭＳ ゴシック"/>
                <w:color w:val="000000"/>
                <w:kern w:val="0"/>
                <w:szCs w:val="21"/>
              </w:rPr>
              <w:t xml:space="preserve">  　遊佐町長　　殿</w:t>
            </w:r>
          </w:p>
          <w:p w14:paraId="402EE612" w14:textId="77777777" w:rsidR="001709CD" w:rsidRDefault="001709CD">
            <w:pPr>
              <w:suppressAutoHyphens/>
              <w:spacing w:line="240" w:lineRule="exact"/>
              <w:jc w:val="left"/>
              <w:textAlignment w:val="baseline"/>
              <w:rPr>
                <w:rFonts w:ascii="ＭＳ ゴシック" w:eastAsia="ＭＳ ゴシック" w:hAnsi="ＭＳ ゴシック"/>
                <w:color w:val="000000"/>
                <w:spacing w:val="16"/>
                <w:kern w:val="0"/>
                <w:szCs w:val="21"/>
              </w:rPr>
            </w:pPr>
          </w:p>
          <w:p w14:paraId="623D1941" w14:textId="77777777" w:rsidR="001709CD" w:rsidRDefault="00D84C01">
            <w:pPr>
              <w:suppressAutoHyphens/>
              <w:spacing w:line="240" w:lineRule="exact"/>
              <w:ind w:right="876"/>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申請者　</w:t>
            </w:r>
            <w:r>
              <w:rPr>
                <w:rFonts w:ascii="ＭＳ ゴシック" w:eastAsia="ＭＳ ゴシック" w:hAnsi="ＭＳ ゴシック" w:cs="ＭＳ ゴシック"/>
                <w:color w:val="000000"/>
                <w:kern w:val="0"/>
                <w:szCs w:val="21"/>
                <w:u w:val="single" w:color="000000"/>
              </w:rPr>
              <w:t xml:space="preserve">住　所　　　　　　　　　 　　　　　</w:t>
            </w:r>
          </w:p>
          <w:p w14:paraId="5CFEAED9" w14:textId="77777777" w:rsidR="001709CD" w:rsidRDefault="00D84C01">
            <w:pPr>
              <w:suppressAutoHyphens/>
              <w:spacing w:line="240" w:lineRule="exact"/>
              <w:ind w:right="876"/>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氏　名　　　　　　　　　　　　　 印</w:t>
            </w:r>
          </w:p>
          <w:p w14:paraId="3186ABAD" w14:textId="77777777" w:rsidR="001709CD" w:rsidRDefault="001709CD">
            <w:pPr>
              <w:suppressAutoHyphens/>
              <w:spacing w:line="180" w:lineRule="exact"/>
              <w:jc w:val="left"/>
              <w:textAlignment w:val="baseline"/>
              <w:rPr>
                <w:rFonts w:ascii="ＭＳ ゴシック" w:eastAsia="ＭＳ ゴシック" w:hAnsi="ＭＳ ゴシック"/>
                <w:color w:val="000000"/>
                <w:spacing w:val="16"/>
                <w:kern w:val="0"/>
                <w:szCs w:val="21"/>
              </w:rPr>
            </w:pPr>
          </w:p>
          <w:p w14:paraId="1674D475" w14:textId="77777777" w:rsidR="001709CD" w:rsidRDefault="00D84C01">
            <w:pPr>
              <w:pStyle w:val="aff"/>
              <w:jc w:val="left"/>
              <w:rPr>
                <w:sz w:val="18"/>
                <w:szCs w:val="18"/>
              </w:rPr>
            </w:pPr>
            <w:r>
              <w:rPr>
                <w:sz w:val="18"/>
                <w:szCs w:val="18"/>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1B07405B" w14:textId="77777777" w:rsidR="001709CD" w:rsidRDefault="00D84C01">
            <w:pPr>
              <w:pStyle w:val="aff"/>
              <w:jc w:val="left"/>
              <w:rPr>
                <w:sz w:val="18"/>
                <w:szCs w:val="18"/>
              </w:rPr>
            </w:pPr>
            <w:r>
              <w:rPr>
                <w:sz w:val="18"/>
                <w:szCs w:val="18"/>
              </w:rPr>
              <w:t>（表)</w:t>
            </w:r>
          </w:p>
          <w:tbl>
            <w:tblPr>
              <w:tblW w:w="9393"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CellMar>
                <w:left w:w="85" w:type="dxa"/>
              </w:tblCellMar>
              <w:tblLook w:val="04A0" w:firstRow="1" w:lastRow="0" w:firstColumn="1" w:lastColumn="0" w:noHBand="0" w:noVBand="1"/>
            </w:tblPr>
            <w:tblGrid>
              <w:gridCol w:w="3167"/>
              <w:gridCol w:w="3168"/>
              <w:gridCol w:w="3058"/>
            </w:tblGrid>
            <w:tr w:rsidR="001709CD" w14:paraId="4201CAD9" w14:textId="77777777">
              <w:trPr>
                <w:trHeight w:val="327"/>
              </w:trPr>
              <w:tc>
                <w:tcPr>
                  <w:tcW w:w="3167" w:type="dxa"/>
                  <w:tcBorders>
                    <w:top w:val="single" w:sz="18" w:space="0" w:color="00000A"/>
                    <w:left w:val="single" w:sz="18" w:space="0" w:color="00000A"/>
                    <w:bottom w:val="single" w:sz="18" w:space="0" w:color="00000A"/>
                    <w:right w:val="single" w:sz="18" w:space="0" w:color="00000A"/>
                  </w:tcBorders>
                  <w:shd w:val="clear" w:color="auto" w:fill="auto"/>
                  <w:tcMar>
                    <w:left w:w="85" w:type="dxa"/>
                  </w:tcMar>
                </w:tcPr>
                <w:p w14:paraId="003CB137" w14:textId="77777777" w:rsidR="001709CD" w:rsidRDefault="001709CD">
                  <w:pPr>
                    <w:suppressAutoHyphens/>
                    <w:spacing w:line="274" w:lineRule="atLeast"/>
                    <w:jc w:val="center"/>
                    <w:textAlignment w:val="baseline"/>
                    <w:rPr>
                      <w:rFonts w:ascii="ＭＳ ゴシック" w:eastAsia="ＭＳ ゴシック" w:hAnsi="ＭＳ ゴシック"/>
                      <w:color w:val="000000"/>
                      <w:spacing w:val="16"/>
                      <w:kern w:val="0"/>
                      <w:szCs w:val="21"/>
                    </w:rPr>
                  </w:pPr>
                </w:p>
              </w:tc>
              <w:tc>
                <w:tcPr>
                  <w:tcW w:w="3168" w:type="dxa"/>
                  <w:tcBorders>
                    <w:top w:val="single" w:sz="4" w:space="0" w:color="00000A"/>
                    <w:left w:val="single" w:sz="18" w:space="0" w:color="00000A"/>
                    <w:bottom w:val="single" w:sz="4" w:space="0" w:color="00000A"/>
                    <w:right w:val="single" w:sz="4" w:space="0" w:color="00000A"/>
                  </w:tcBorders>
                  <w:shd w:val="clear" w:color="auto" w:fill="auto"/>
                  <w:tcMar>
                    <w:left w:w="85" w:type="dxa"/>
                  </w:tcMar>
                </w:tcPr>
                <w:p w14:paraId="33672967" w14:textId="77777777" w:rsidR="001709CD" w:rsidRDefault="001709CD">
                  <w:pPr>
                    <w:suppressAutoHyphens/>
                    <w:spacing w:line="274" w:lineRule="atLeast"/>
                    <w:jc w:val="left"/>
                    <w:textAlignment w:val="baseline"/>
                    <w:rPr>
                      <w:rFonts w:ascii="ＭＳ ゴシック" w:eastAsia="ＭＳ ゴシック" w:hAnsi="ＭＳ ゴシック"/>
                      <w:color w:val="000000"/>
                      <w:spacing w:val="16"/>
                      <w:kern w:val="0"/>
                      <w:szCs w:val="21"/>
                    </w:rPr>
                  </w:pPr>
                </w:p>
              </w:tc>
              <w:tc>
                <w:tcPr>
                  <w:tcW w:w="30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AC2485" w14:textId="77777777" w:rsidR="001709CD" w:rsidRDefault="001709CD">
                  <w:pPr>
                    <w:suppressAutoHyphens/>
                    <w:spacing w:line="274" w:lineRule="atLeast"/>
                    <w:jc w:val="left"/>
                    <w:textAlignment w:val="baseline"/>
                    <w:rPr>
                      <w:rFonts w:ascii="ＭＳ ゴシック" w:eastAsia="ＭＳ ゴシック" w:hAnsi="ＭＳ ゴシック"/>
                      <w:color w:val="000000"/>
                      <w:spacing w:val="16"/>
                      <w:kern w:val="0"/>
                      <w:szCs w:val="21"/>
                    </w:rPr>
                  </w:pPr>
                </w:p>
              </w:tc>
            </w:tr>
          </w:tbl>
          <w:p w14:paraId="59CFBA13" w14:textId="77777777" w:rsidR="001709CD" w:rsidRDefault="00D84C01">
            <w:pPr>
              <w:suppressAutoHyphens/>
              <w:spacing w:line="240" w:lineRule="exact"/>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olor w:val="000000"/>
                <w:spacing w:val="16"/>
                <w:kern w:val="0"/>
                <w:sz w:val="18"/>
                <w:szCs w:val="18"/>
              </w:rPr>
              <w:t>※表には、指定業種であって、原油等の価格の上昇を製品等の価格に転嫁できていない事業が属する業種(日本標準産業分類の細分類番号と細分類業種名)を記載。当該指定業種が複数ある場合には、その中で、最近１年間で最も売上高等が大きい事業が属する指定業種を左上の太枠に記載。</w:t>
            </w:r>
          </w:p>
          <w:p w14:paraId="1122638A" w14:textId="77777777" w:rsidR="001709CD" w:rsidRDefault="001709CD">
            <w:pPr>
              <w:suppressAutoHyphens/>
              <w:spacing w:line="240" w:lineRule="exact"/>
              <w:jc w:val="center"/>
              <w:textAlignment w:val="baseline"/>
              <w:rPr>
                <w:rFonts w:ascii="ＭＳ ゴシック" w:eastAsia="ＭＳ ゴシック" w:hAnsi="ＭＳ ゴシック" w:cs="ＭＳ ゴシック"/>
                <w:color w:val="000000"/>
                <w:kern w:val="0"/>
                <w:sz w:val="18"/>
                <w:szCs w:val="18"/>
              </w:rPr>
            </w:pPr>
          </w:p>
          <w:p w14:paraId="6F51698A" w14:textId="77777777" w:rsidR="001709CD" w:rsidRDefault="00D84C01">
            <w:pPr>
              <w:suppressAutoHyphens/>
              <w:spacing w:line="240" w:lineRule="exact"/>
              <w:jc w:val="center"/>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記</w:t>
            </w:r>
          </w:p>
          <w:p w14:paraId="214ACD1E"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①上記の表に記載した指定業種（以下同じ。）に係る原油等の仕入単価の上昇（注２）</w:t>
            </w:r>
          </w:p>
          <w:p w14:paraId="4DABC6A6"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Ｅ </w:t>
            </w:r>
            <w:r>
              <w:rPr>
                <w:rFonts w:ascii="ＭＳ ゴシック" w:eastAsia="ＭＳ ゴシック" w:hAnsi="ＭＳ ゴシック" w:cs="ＭＳ ゴシック"/>
                <w:color w:val="000000"/>
                <w:kern w:val="0"/>
                <w:sz w:val="18"/>
                <w:szCs w:val="18"/>
              </w:rPr>
              <w:t xml:space="preserve">　　　 </w:t>
            </w:r>
          </w:p>
          <w:p w14:paraId="51F0A479"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ｅ  ×100－100　 　　　　　　　　     　　 </w:t>
            </w:r>
            <w:r>
              <w:rPr>
                <w:rFonts w:ascii="ＭＳ ゴシック" w:eastAsia="ＭＳ ゴシック" w:hAnsi="ＭＳ ゴシック" w:cs="ＭＳ ゴシック"/>
                <w:color w:val="000000"/>
                <w:kern w:val="0"/>
                <w:sz w:val="18"/>
                <w:szCs w:val="18"/>
                <w:u w:val="single" w:color="000000"/>
              </w:rPr>
              <w:t>上昇率　　　　　　　　％</w:t>
            </w:r>
          </w:p>
          <w:p w14:paraId="17E28B74"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Ｅ：指定業種に係る原油等の最近１か月間における平均仕入れ単価　　　</w:t>
            </w:r>
            <w:r>
              <w:rPr>
                <w:rFonts w:ascii="ＭＳ ゴシック" w:eastAsia="ＭＳ ゴシック" w:hAnsi="ＭＳ ゴシック" w:cs="ＭＳ ゴシック"/>
                <w:color w:val="000000"/>
                <w:kern w:val="0"/>
                <w:sz w:val="18"/>
                <w:szCs w:val="18"/>
                <w:u w:val="single" w:color="000000"/>
              </w:rPr>
              <w:t xml:space="preserve">　　　　　　　　　　　円</w:t>
            </w:r>
          </w:p>
          <w:p w14:paraId="690C9E48"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ｅ：指定業種に係るＥの期間に対応する前年１か月間の平均仕入れ単価</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24211264" w14:textId="77777777" w:rsidR="001709CD" w:rsidRDefault="001709CD">
            <w:pPr>
              <w:suppressAutoHyphens/>
              <w:spacing w:line="240" w:lineRule="exact"/>
              <w:jc w:val="left"/>
              <w:textAlignment w:val="baseline"/>
              <w:rPr>
                <w:rFonts w:ascii="ＭＳ ゴシック" w:eastAsia="ＭＳ ゴシック" w:hAnsi="ＭＳ ゴシック" w:cs="ＭＳ ゴシック"/>
                <w:color w:val="000000"/>
                <w:kern w:val="0"/>
                <w:sz w:val="18"/>
                <w:szCs w:val="18"/>
              </w:rPr>
            </w:pPr>
          </w:p>
          <w:p w14:paraId="23CB3ED3" w14:textId="77777777" w:rsidR="001709CD" w:rsidRDefault="00D84C01">
            <w:pPr>
              <w:suppressAutoHyphens/>
              <w:spacing w:line="240" w:lineRule="exact"/>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②全体の売上原価のうち指定業種に係る原油等の仕入価格が占める割合（注２）</w:t>
            </w:r>
          </w:p>
          <w:p w14:paraId="4735FCD8" w14:textId="77777777" w:rsidR="001709CD" w:rsidRDefault="00D84C01">
            <w:pPr>
              <w:suppressAutoHyphens/>
              <w:spacing w:line="240" w:lineRule="exact"/>
              <w:ind w:firstLine="900"/>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u w:val="single" w:color="000000"/>
              </w:rPr>
              <w:t>Ｓ</w:t>
            </w:r>
          </w:p>
          <w:p w14:paraId="7D31BC49"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Ｃ   ×100   　　　     　　 　　　　     　</w:t>
            </w:r>
            <w:r>
              <w:rPr>
                <w:rFonts w:ascii="ＭＳ ゴシック" w:eastAsia="ＭＳ ゴシック" w:hAnsi="ＭＳ ゴシック" w:cs="ＭＳ ゴシック"/>
                <w:color w:val="000000"/>
                <w:kern w:val="0"/>
                <w:sz w:val="18"/>
                <w:szCs w:val="18"/>
                <w:u w:val="single" w:color="000000"/>
              </w:rPr>
              <w:t>依存率　　　　　 　　％</w:t>
            </w:r>
          </w:p>
          <w:p w14:paraId="78114A35"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Ｃ：申込時点における最新の全体の売上原価</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4A58BFAD"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Ｓ：Ｃの売上原価に対応する指定業種に係る原油等の仕入価格</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49BE2364" w14:textId="77777777" w:rsidR="001709CD" w:rsidRDefault="001709CD">
            <w:pPr>
              <w:suppressAutoHyphens/>
              <w:spacing w:line="240" w:lineRule="exact"/>
              <w:jc w:val="left"/>
              <w:textAlignment w:val="baseline"/>
              <w:rPr>
                <w:rFonts w:ascii="ＭＳ ゴシック" w:eastAsia="ＭＳ ゴシック" w:hAnsi="ＭＳ ゴシック" w:cs="ＭＳ ゴシック"/>
                <w:color w:val="000000"/>
                <w:kern w:val="0"/>
                <w:sz w:val="18"/>
                <w:szCs w:val="18"/>
              </w:rPr>
            </w:pPr>
          </w:p>
          <w:p w14:paraId="1E60A17A"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③－１　指定業種に係る製品等価格への転嫁の状況（注３）</w:t>
            </w:r>
          </w:p>
          <w:p w14:paraId="7C1F793E" w14:textId="77777777" w:rsidR="001709CD" w:rsidRDefault="00D84C01">
            <w:pPr>
              <w:suppressAutoHyphens/>
              <w:spacing w:line="230" w:lineRule="exac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Ａ１ </w:t>
            </w: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w:t>
            </w: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ａ１ </w:t>
            </w:r>
            <w:r>
              <w:rPr>
                <w:rFonts w:ascii="ＭＳ ゴシック" w:eastAsia="ＭＳ ゴシック" w:hAnsi="ＭＳ ゴシック" w:cs="ＭＳ ゴシック"/>
                <w:color w:val="000000"/>
                <w:kern w:val="0"/>
                <w:sz w:val="18"/>
                <w:szCs w:val="18"/>
              </w:rPr>
              <w:t xml:space="preserve">　　　　　　</w:t>
            </w:r>
          </w:p>
          <w:p w14:paraId="5E7B3B01" w14:textId="77777777" w:rsidR="001709CD" w:rsidRDefault="00D84C01">
            <w:pPr>
              <w:suppressAutoHyphens/>
              <w:spacing w:line="230" w:lineRule="exac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Ｂ１　　    ｂ１  　＝Ｐ１   　　　　　　  </w:t>
            </w:r>
            <w:r>
              <w:rPr>
                <w:rFonts w:ascii="ＭＳ ゴシック" w:eastAsia="ＭＳ ゴシック" w:hAnsi="ＭＳ ゴシック" w:cs="ＭＳ ゴシック"/>
                <w:color w:val="000000"/>
                <w:kern w:val="0"/>
                <w:sz w:val="18"/>
                <w:szCs w:val="18"/>
                <w:u w:val="single" w:color="000000"/>
              </w:rPr>
              <w:t xml:space="preserve"> Ｐ１＝ 　　　 　　　　</w:t>
            </w:r>
          </w:p>
          <w:p w14:paraId="38937C64"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Ａ１：申込時点における最近３か月間の指定業種に係る原油等の仕入価格</w:t>
            </w:r>
            <w:r>
              <w:rPr>
                <w:rFonts w:ascii="ＭＳ ゴシック" w:eastAsia="ＭＳ ゴシック" w:hAnsi="ＭＳ ゴシック" w:cs="ＭＳ ゴシック"/>
                <w:color w:val="000000"/>
                <w:kern w:val="0"/>
                <w:sz w:val="18"/>
                <w:szCs w:val="18"/>
                <w:u w:val="single" w:color="000000"/>
              </w:rPr>
              <w:t xml:space="preserve">　　　　　   　　　　円</w:t>
            </w:r>
          </w:p>
          <w:p w14:paraId="0D17D8CE"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ａ１：Ａ１の期間に対応する前年３か月間の指定業種に係る原油等の仕入価格　</w:t>
            </w:r>
            <w:r>
              <w:rPr>
                <w:rFonts w:ascii="ＭＳ ゴシック" w:eastAsia="ＭＳ ゴシック" w:hAnsi="ＭＳ ゴシック" w:cs="ＭＳ ゴシック"/>
                <w:color w:val="000000"/>
                <w:kern w:val="0"/>
                <w:sz w:val="18"/>
                <w:szCs w:val="18"/>
                <w:u w:val="single" w:color="000000"/>
              </w:rPr>
              <w:t xml:space="preserve">　　　   　　　円</w:t>
            </w:r>
          </w:p>
          <w:p w14:paraId="66E50D75"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Ｂ１：申込時点における最近３か月間の指定業種に係る売上高</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7C422B4D" w14:textId="77777777" w:rsidR="001709CD" w:rsidRDefault="00D84C01">
            <w:pPr>
              <w:suppressAutoHyphens/>
              <w:spacing w:line="240" w:lineRule="exact"/>
              <w:jc w:val="left"/>
              <w:textAlignment w:val="baseline"/>
              <w:rPr>
                <w:rFonts w:ascii="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ｂ１：Ｂ１の期間に対応する前年３か月間の指定業種に係る売上高</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11841519" w14:textId="77777777" w:rsidR="001709CD" w:rsidRDefault="001709CD">
            <w:pPr>
              <w:suppressAutoHyphens/>
              <w:spacing w:line="240" w:lineRule="exact"/>
              <w:jc w:val="left"/>
              <w:textAlignment w:val="baseline"/>
              <w:rPr>
                <w:rFonts w:ascii="ＭＳ ゴシック" w:eastAsia="ＭＳ ゴシック" w:hAnsi="ＭＳ ゴシック" w:cs="ＭＳ ゴシック"/>
                <w:color w:val="000000"/>
                <w:kern w:val="0"/>
                <w:sz w:val="18"/>
                <w:szCs w:val="18"/>
                <w:u w:val="single" w:color="000000"/>
              </w:rPr>
            </w:pPr>
          </w:p>
          <w:p w14:paraId="132A17C2" w14:textId="77777777" w:rsidR="001709CD" w:rsidRDefault="00D84C01">
            <w:pPr>
              <w:suppressAutoHyphens/>
              <w:spacing w:line="240" w:lineRule="exact"/>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③－２　全体に係る製品等価格への転嫁の状況（注３）</w:t>
            </w:r>
          </w:p>
          <w:p w14:paraId="50DE1F61" w14:textId="77777777" w:rsidR="001709CD" w:rsidRDefault="00D84C01">
            <w:pPr>
              <w:suppressAutoHyphens/>
              <w:spacing w:line="230" w:lineRule="exac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Ａ１ </w:t>
            </w: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w:t>
            </w:r>
            <w:r>
              <w:rPr>
                <w:rFonts w:ascii="ＭＳ ゴシック" w:eastAsia="ＭＳ ゴシック" w:hAnsi="ＭＳ ゴシック" w:cs="ＭＳ ゴシック"/>
                <w:color w:val="000000"/>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ａ１ </w:t>
            </w:r>
            <w:r>
              <w:rPr>
                <w:rFonts w:ascii="ＭＳ ゴシック" w:eastAsia="ＭＳ ゴシック" w:hAnsi="ＭＳ ゴシック" w:cs="ＭＳ ゴシック"/>
                <w:color w:val="000000"/>
                <w:kern w:val="0"/>
                <w:sz w:val="18"/>
                <w:szCs w:val="18"/>
              </w:rPr>
              <w:t xml:space="preserve">　　　　　　</w:t>
            </w:r>
          </w:p>
          <w:p w14:paraId="7466A507" w14:textId="77777777" w:rsidR="001709CD" w:rsidRDefault="00D84C01">
            <w:pPr>
              <w:suppressAutoHyphens/>
              <w:spacing w:line="230" w:lineRule="exac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Ｂ２　　　  ｂ２  　＝Ｐ２  　　　 </w:t>
            </w:r>
            <w:r>
              <w:rPr>
                <w:rFonts w:ascii="ＭＳ ゴシック" w:eastAsia="ＭＳ ゴシック" w:hAnsi="ＭＳ ゴシック" w:cs="ＭＳ ゴシック"/>
                <w:color w:val="000000"/>
                <w:kern w:val="0"/>
                <w:sz w:val="18"/>
                <w:szCs w:val="18"/>
                <w:u w:val="single" w:color="000000"/>
              </w:rPr>
              <w:t xml:space="preserve"> Ｐ２＝ 　　　 　　　　</w:t>
            </w:r>
          </w:p>
          <w:p w14:paraId="20D5E0C0"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Ａ１：申込時点における最近３か月間の指定業種に係る原油等の仕入価格</w:t>
            </w:r>
            <w:r>
              <w:rPr>
                <w:rFonts w:ascii="ＭＳ ゴシック" w:eastAsia="ＭＳ ゴシック" w:hAnsi="ＭＳ ゴシック" w:cs="ＭＳ ゴシック"/>
                <w:color w:val="000000"/>
                <w:kern w:val="0"/>
                <w:sz w:val="18"/>
                <w:szCs w:val="18"/>
                <w:u w:val="single" w:color="000000"/>
              </w:rPr>
              <w:t xml:space="preserve">　　　　　   　　　　円</w:t>
            </w:r>
          </w:p>
          <w:p w14:paraId="481BEC1C"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ａ１：Ａ１の期間に対応する前年３か月間の指定業種に係る原油等の仕入価格</w:t>
            </w:r>
            <w:r>
              <w:rPr>
                <w:rFonts w:ascii="ＭＳ ゴシック" w:eastAsia="ＭＳ ゴシック" w:hAnsi="ＭＳ ゴシック" w:cs="ＭＳ ゴシック"/>
                <w:color w:val="000000"/>
                <w:kern w:val="0"/>
                <w:sz w:val="18"/>
                <w:szCs w:val="18"/>
                <w:u w:val="single" w:color="000000"/>
              </w:rPr>
              <w:t xml:space="preserve">　　　　   　　　円</w:t>
            </w:r>
          </w:p>
          <w:p w14:paraId="723DB726"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Ｂ２：申込時点における最近３か月間の全体の売上高</w:t>
            </w:r>
            <w:r>
              <w:rPr>
                <w:rFonts w:ascii="ＭＳ ゴシック" w:eastAsia="ＭＳ ゴシック" w:hAnsi="ＭＳ ゴシック"/>
                <w:color w:val="000000"/>
                <w:spacing w:val="16"/>
                <w:kern w:val="0"/>
                <w:sz w:val="18"/>
                <w:szCs w:val="18"/>
              </w:rPr>
              <w:t xml:space="preserve">　</w:t>
            </w:r>
            <w:r>
              <w:rPr>
                <w:rFonts w:ascii="ＭＳ ゴシック" w:eastAsia="ＭＳ ゴシック" w:hAnsi="ＭＳ ゴシック" w:cs="ＭＳ ゴシック"/>
                <w:color w:val="000000"/>
                <w:kern w:val="0"/>
                <w:sz w:val="18"/>
                <w:szCs w:val="18"/>
                <w:u w:val="single" w:color="000000"/>
              </w:rPr>
              <w:t xml:space="preserve">　 　　　　　　   　 円</w:t>
            </w:r>
          </w:p>
          <w:p w14:paraId="44A829DC" w14:textId="77777777" w:rsidR="001709CD" w:rsidRDefault="00D84C01">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 w:val="18"/>
                <w:szCs w:val="18"/>
              </w:rPr>
              <w:t xml:space="preserve">　ｂ２：Ｂ２の期間に対応する前年３か月間の全体の売上高 </w:t>
            </w:r>
            <w:r>
              <w:rPr>
                <w:rFonts w:ascii="ＭＳ ゴシック" w:eastAsia="ＭＳ ゴシック" w:hAnsi="ＭＳ ゴシック" w:cs="ＭＳ ゴシック"/>
                <w:color w:val="000000"/>
                <w:kern w:val="0"/>
                <w:sz w:val="18"/>
                <w:szCs w:val="18"/>
                <w:u w:val="single" w:color="000000"/>
              </w:rPr>
              <w:t xml:space="preserve">                     円</w:t>
            </w:r>
          </w:p>
        </w:tc>
      </w:tr>
    </w:tbl>
    <w:p w14:paraId="6E0DDDE8" w14:textId="77777777" w:rsidR="001709CD" w:rsidRDefault="00D84C01">
      <w:pPr>
        <w:suppressAutoHyphens/>
        <w:jc w:val="left"/>
        <w:textAlignment w:val="baseline"/>
      </w:pPr>
      <w:r>
        <w:rPr>
          <w:noProof/>
        </w:rPr>
        <mc:AlternateContent>
          <mc:Choice Requires="wps">
            <w:drawing>
              <wp:anchor distT="0" distB="0" distL="114300" distR="114300" simplePos="0" relativeHeight="2" behindDoc="0" locked="0" layoutInCell="1" allowOverlap="1" wp14:anchorId="2506EE05" wp14:editId="15E5ED0B">
                <wp:simplePos x="0" y="0"/>
                <wp:positionH relativeFrom="column">
                  <wp:posOffset>-88265</wp:posOffset>
                </wp:positionH>
                <wp:positionV relativeFrom="paragraph">
                  <wp:posOffset>8255</wp:posOffset>
                </wp:positionV>
                <wp:extent cx="6099810" cy="781685"/>
                <wp:effectExtent l="1270" t="3810" r="0" b="0"/>
                <wp:wrapNone/>
                <wp:docPr id="1" name="Text Box 6"/>
                <wp:cNvGraphicFramePr/>
                <a:graphic xmlns:a="http://schemas.openxmlformats.org/drawingml/2006/main">
                  <a:graphicData uri="http://schemas.microsoft.com/office/word/2010/wordprocessingShape">
                    <wps:wsp>
                      <wps:cNvSpPr/>
                      <wps:spPr>
                        <a:xfrm>
                          <a:off x="0" y="0"/>
                          <a:ext cx="6099120" cy="781200"/>
                        </a:xfrm>
                        <a:prstGeom prst="rect">
                          <a:avLst/>
                        </a:prstGeom>
                        <a:noFill/>
                        <a:ln>
                          <a:noFill/>
                        </a:ln>
                      </wps:spPr>
                      <wps:style>
                        <a:lnRef idx="0">
                          <a:scrgbClr r="0" g="0" b="0"/>
                        </a:lnRef>
                        <a:fillRef idx="0">
                          <a:scrgbClr r="0" g="0" b="0"/>
                        </a:fillRef>
                        <a:effectRef idx="0">
                          <a:scrgbClr r="0" g="0" b="0"/>
                        </a:effectRef>
                        <a:fontRef idx="minor"/>
                      </wps:style>
                      <wps:txbx>
                        <w:txbxContent>
                          <w:p w14:paraId="3A7B14C3" w14:textId="77777777" w:rsidR="001709CD" w:rsidRDefault="00D84C01">
                            <w:pPr>
                              <w:pStyle w:val="aff0"/>
                              <w:suppressAutoHyphens/>
                              <w:spacing w:line="280" w:lineRule="exact"/>
                              <w:ind w:left="738" w:hanging="738"/>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（注１）本様式は、指定業種に係る原油等の仕入価格の上昇等を指定業種及び企業全体の製品等の価格に転嫁できていないことによって認定基準を満たす場合に使用する。</w:t>
                            </w:r>
                          </w:p>
                          <w:p w14:paraId="1ED8484C" w14:textId="77777777" w:rsidR="001709CD" w:rsidRDefault="00D84C01">
                            <w:pPr>
                              <w:pStyle w:val="aff0"/>
                              <w:suppressAutoHyphens/>
                              <w:spacing w:line="280" w:lineRule="exact"/>
                              <w:ind w:left="738" w:hanging="738"/>
                              <w:jc w:val="left"/>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（注２）上昇率及び依存率が２０％以上となっていること。</w:t>
                            </w:r>
                          </w:p>
                          <w:p w14:paraId="6A5A3BB6" w14:textId="77777777" w:rsidR="001709CD" w:rsidRDefault="00D84C01">
                            <w:pPr>
                              <w:pStyle w:val="aff0"/>
                              <w:suppressAutoHyphens/>
                              <w:spacing w:line="280" w:lineRule="exact"/>
                              <w:ind w:left="738" w:hanging="738"/>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（注３）Ｐ１＞０、かつ、Ｐ２＞０となっていること。</w:t>
                            </w:r>
                          </w:p>
                          <w:p w14:paraId="22B1A67C" w14:textId="77777777" w:rsidR="001709CD" w:rsidRDefault="00D84C01">
                            <w:pPr>
                              <w:pStyle w:val="aff0"/>
                              <w:suppressAutoHyphens/>
                              <w:spacing w:line="280" w:lineRule="exact"/>
                              <w:ind w:left="1230" w:hanging="1230"/>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（留意事項）</w:t>
                            </w:r>
                          </w:p>
                          <w:p w14:paraId="144CB612" w14:textId="77777777" w:rsidR="001709CD" w:rsidRDefault="00D84C01">
                            <w:pPr>
                              <w:pStyle w:val="aff0"/>
                              <w:suppressAutoHyphens/>
                              <w:spacing w:line="280" w:lineRule="exact"/>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cs="ＭＳ ゴシック"/>
                                <w:color w:val="000000"/>
                                <w:kern w:val="0"/>
                                <w:sz w:val="18"/>
                                <w:szCs w:val="18"/>
                              </w:rPr>
                              <w:t xml:space="preserve">　①　本認定とは別に、金融機関及び信用保証協会による金融上の審査があります。</w:t>
                            </w:r>
                          </w:p>
                          <w:p w14:paraId="5DF18DE7" w14:textId="77777777" w:rsidR="001709CD" w:rsidRDefault="00D84C01">
                            <w:pPr>
                              <w:pStyle w:val="aff0"/>
                              <w:suppressAutoHyphens/>
                              <w:spacing w:line="280" w:lineRule="exact"/>
                              <w:ind w:left="481" w:hanging="481"/>
                              <w:jc w:val="left"/>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16DDCE0F" w14:textId="77777777" w:rsidR="001709CD" w:rsidRDefault="001709CD">
                            <w:pPr>
                              <w:pStyle w:val="aff0"/>
                              <w:suppressAutoHyphens/>
                              <w:ind w:left="862" w:hanging="862"/>
                              <w:jc w:val="left"/>
                              <w:textAlignment w:val="baseline"/>
                            </w:pPr>
                          </w:p>
                        </w:txbxContent>
                      </wps:txbx>
                      <wps:bodyPr>
                        <a:noAutofit/>
                      </wps:bodyPr>
                    </wps:wsp>
                  </a:graphicData>
                </a:graphic>
              </wp:anchor>
            </w:drawing>
          </mc:Choice>
          <mc:Fallback>
            <w:pict>
              <v:rect id="shape_0" ID="Text Box 6" stroked="f" style="position:absolute;margin-left:-6.95pt;margin-top:0.65pt;width:480.2pt;height:61.45pt">
                <w10:wrap type="square"/>
                <v:fill o:detectmouseclick="t" on="false"/>
                <v:stroke color="#3465a4" joinstyle="round" endcap="flat"/>
                <v:textbox>
                  <w:txbxContent>
                    <w:p>
                      <w:pPr>
                        <w:pStyle w:val="Style28"/>
                        <w:suppressAutoHyphens w:val="true"/>
                        <w:spacing w:lineRule="exact" w:line="280"/>
                        <w:ind w:left="738" w:hanging="738"/>
                        <w:jc w:val="left"/>
                        <w:textAlignment w:val="baseline"/>
                        <w:rPr>
                          <w:rFonts w:ascii="ＭＳ ゴシック" w:hAnsi="ＭＳ ゴシック" w:eastAsia="ＭＳ ゴシック" w:cs="ＭＳ ゴシック"/>
                          <w:color w:val="000000"/>
                          <w:kern w:val="0"/>
                          <w:sz w:val="18"/>
                          <w:szCs w:val="18"/>
                        </w:rPr>
                      </w:pPr>
                      <w:r>
                        <w:rPr>
                          <w:rFonts w:ascii="ＭＳ ゴシック" w:hAnsi="ＭＳ ゴシック" w:cs="ＭＳ ゴシック" w:eastAsia="ＭＳ ゴシック"/>
                          <w:color w:val="000000"/>
                          <w:kern w:val="0"/>
                          <w:sz w:val="18"/>
                          <w:szCs w:val="18"/>
                        </w:rPr>
                        <w:t>（注１）本様式は、指定業種に係る原油等の仕入価格の上昇等を指定業種及び企業全体の製品等の価格に転嫁できていないことによって認定基準を満たす場合に使用する。</w:t>
                      </w:r>
                    </w:p>
                    <w:p>
                      <w:pPr>
                        <w:pStyle w:val="Style28"/>
                        <w:suppressAutoHyphens w:val="true"/>
                        <w:spacing w:lineRule="exact" w:line="280"/>
                        <w:ind w:left="738" w:hanging="738"/>
                        <w:jc w:val="left"/>
                        <w:textAlignment w:val="baseline"/>
                        <w:rPr>
                          <w:rFonts w:ascii="ＭＳ ゴシック" w:hAnsi="ＭＳ ゴシック" w:eastAsia="ＭＳ ゴシック" w:cs="ＭＳ ゴシック"/>
                          <w:color w:val="000000"/>
                          <w:kern w:val="0"/>
                          <w:sz w:val="18"/>
                          <w:szCs w:val="18"/>
                        </w:rPr>
                      </w:pPr>
                      <w:r>
                        <w:rPr>
                          <w:rFonts w:ascii="ＭＳ ゴシック" w:hAnsi="ＭＳ ゴシック" w:cs="ＭＳ ゴシック" w:eastAsia="ＭＳ ゴシック"/>
                          <w:color w:val="000000"/>
                          <w:kern w:val="0"/>
                          <w:sz w:val="18"/>
                          <w:szCs w:val="18"/>
                        </w:rPr>
                        <w:t>（注２）上昇率及び依存率が２０％以上となっていること。</w:t>
                      </w:r>
                    </w:p>
                    <w:p>
                      <w:pPr>
                        <w:pStyle w:val="Style28"/>
                        <w:suppressAutoHyphens w:val="true"/>
                        <w:spacing w:lineRule="exact" w:line="280"/>
                        <w:ind w:left="738" w:hanging="738"/>
                        <w:jc w:val="left"/>
                        <w:textAlignment w:val="baseline"/>
                        <w:rPr>
                          <w:rFonts w:ascii="ＭＳ ゴシック" w:hAnsi="ＭＳ ゴシック" w:eastAsia="ＭＳ ゴシック"/>
                          <w:color w:val="000000"/>
                          <w:spacing w:val="16"/>
                          <w:kern w:val="0"/>
                          <w:sz w:val="18"/>
                          <w:szCs w:val="18"/>
                        </w:rPr>
                      </w:pPr>
                      <w:r>
                        <w:rPr>
                          <w:rFonts w:ascii="ＭＳ ゴシック" w:hAnsi="ＭＳ ゴシック" w:cs="ＭＳ ゴシック" w:eastAsia="ＭＳ ゴシック"/>
                          <w:color w:val="000000"/>
                          <w:kern w:val="0"/>
                          <w:sz w:val="18"/>
                          <w:szCs w:val="18"/>
                        </w:rPr>
                        <w:t>（注３）Ｐ１＞０、かつ、Ｐ２＞０となっていること。</w:t>
                      </w:r>
                    </w:p>
                    <w:p>
                      <w:pPr>
                        <w:pStyle w:val="Style28"/>
                        <w:suppressAutoHyphens w:val="true"/>
                        <w:spacing w:lineRule="exact" w:line="280"/>
                        <w:ind w:left="1230" w:hanging="1230"/>
                        <w:jc w:val="left"/>
                        <w:textAlignment w:val="baseline"/>
                        <w:rPr>
                          <w:rFonts w:ascii="ＭＳ ゴシック" w:hAnsi="ＭＳ ゴシック" w:eastAsia="ＭＳ ゴシック"/>
                          <w:color w:val="000000"/>
                          <w:spacing w:val="16"/>
                          <w:kern w:val="0"/>
                          <w:sz w:val="18"/>
                          <w:szCs w:val="18"/>
                        </w:rPr>
                      </w:pPr>
                      <w:r>
                        <w:rPr>
                          <w:rFonts w:ascii="ＭＳ ゴシック" w:hAnsi="ＭＳ ゴシック" w:cs="ＭＳ ゴシック" w:eastAsia="ＭＳ ゴシック"/>
                          <w:color w:val="000000"/>
                          <w:kern w:val="0"/>
                          <w:sz w:val="18"/>
                          <w:szCs w:val="18"/>
                        </w:rPr>
                        <w:t>（留意事項）</w:t>
                      </w:r>
                    </w:p>
                    <w:p>
                      <w:pPr>
                        <w:pStyle w:val="Style28"/>
                        <w:suppressAutoHyphens w:val="true"/>
                        <w:spacing w:lineRule="exact" w:line="280"/>
                        <w:jc w:val="left"/>
                        <w:textAlignment w:val="baseline"/>
                        <w:rPr>
                          <w:rFonts w:ascii="ＭＳ ゴシック" w:hAnsi="ＭＳ ゴシック" w:eastAsia="ＭＳ ゴシック"/>
                          <w:color w:val="000000"/>
                          <w:spacing w:val="16"/>
                          <w:kern w:val="0"/>
                          <w:sz w:val="18"/>
                          <w:szCs w:val="18"/>
                        </w:rPr>
                      </w:pPr>
                      <w:r>
                        <w:rPr>
                          <w:rFonts w:ascii="ＭＳ ゴシック" w:hAnsi="ＭＳ ゴシック" w:cs="ＭＳ ゴシック" w:eastAsia="ＭＳ ゴシック"/>
                          <w:color w:val="000000"/>
                          <w:kern w:val="0"/>
                          <w:sz w:val="18"/>
                          <w:szCs w:val="18"/>
                        </w:rPr>
                        <w:t>　①　本認定とは別に、金融機関及び信用保証協会による金融上の審査があります。</w:t>
                      </w:r>
                    </w:p>
                    <w:p>
                      <w:pPr>
                        <w:pStyle w:val="Style28"/>
                        <w:suppressAutoHyphens w:val="true"/>
                        <w:spacing w:lineRule="exact" w:line="280"/>
                        <w:ind w:left="481" w:hanging="481"/>
                        <w:jc w:val="left"/>
                        <w:rPr>
                          <w:rFonts w:ascii="ＭＳ ゴシック" w:hAnsi="ＭＳ ゴシック" w:eastAsia="ＭＳ ゴシック" w:cs="ＭＳ ゴシック"/>
                          <w:color w:val="000000"/>
                          <w:kern w:val="0"/>
                          <w:sz w:val="18"/>
                          <w:szCs w:val="18"/>
                        </w:rPr>
                      </w:pPr>
                      <w:r>
                        <w:rPr>
                          <w:rFonts w:ascii="ＭＳ ゴシック" w:hAnsi="ＭＳ ゴシック" w:cs="ＭＳ ゴシック" w:eastAsia="ＭＳ ゴシック"/>
                          <w:color w:val="000000"/>
                          <w:kern w:val="0"/>
                          <w:sz w:val="18"/>
                          <w:szCs w:val="18"/>
                        </w:rPr>
                        <w:t>　②　市町村長又は特別区長から認定を受けた後、本認定の有効期間内に金融機関又は信用保証協会に対して、経営安定関連保証の申込みを行うことが必要です。</w:t>
                      </w:r>
                    </w:p>
                    <w:p>
                      <w:pPr>
                        <w:pStyle w:val="Style28"/>
                        <w:suppressAutoHyphens w:val="true"/>
                        <w:ind w:left="862" w:hanging="862"/>
                        <w:jc w:val="left"/>
                        <w:textAlignment w:val="baseline"/>
                        <w:rPr/>
                      </w:pPr>
                      <w:r>
                        <w:rPr/>
                      </w:r>
                    </w:p>
                  </w:txbxContent>
                </v:textbox>
              </v:rect>
            </w:pict>
          </mc:Fallback>
        </mc:AlternateContent>
      </w:r>
      <w:r>
        <w:rPr>
          <w:noProof/>
        </w:rPr>
        <mc:AlternateContent>
          <mc:Choice Requires="wps">
            <w:drawing>
              <wp:anchor distT="0" distB="0" distL="114300" distR="114300" simplePos="0" relativeHeight="3" behindDoc="0" locked="0" layoutInCell="1" allowOverlap="1" wp14:anchorId="30C36D74" wp14:editId="544AC64B">
                <wp:simplePos x="0" y="0"/>
                <wp:positionH relativeFrom="column">
                  <wp:posOffset>-163830</wp:posOffset>
                </wp:positionH>
                <wp:positionV relativeFrom="paragraph">
                  <wp:posOffset>862965</wp:posOffset>
                </wp:positionV>
                <wp:extent cx="6283960" cy="1619885"/>
                <wp:effectExtent l="1905" t="1270" r="1270" b="0"/>
                <wp:wrapNone/>
                <wp:docPr id="3" name="Rectangle 8"/>
                <wp:cNvGraphicFramePr/>
                <a:graphic xmlns:a="http://schemas.openxmlformats.org/drawingml/2006/main">
                  <a:graphicData uri="http://schemas.microsoft.com/office/word/2010/wordprocessingShape">
                    <wps:wsp>
                      <wps:cNvSpPr/>
                      <wps:spPr>
                        <a:xfrm>
                          <a:off x="0" y="0"/>
                          <a:ext cx="6283440" cy="1619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DAD4A72"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産第　　　　　　号</w:t>
                            </w:r>
                          </w:p>
                          <w:p w14:paraId="4C0DBEAC"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w:t>
                            </w:r>
                          </w:p>
                          <w:p w14:paraId="46589C5C"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申請のとおり、相違ないことを認定します。</w:t>
                            </w:r>
                          </w:p>
                          <w:p w14:paraId="50734106"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（注）本認定書の有効期間：</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日から</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日まで</w:t>
                            </w:r>
                          </w:p>
                          <w:p w14:paraId="70926795" w14:textId="77777777" w:rsidR="001709CD" w:rsidRPr="009A5CB4" w:rsidRDefault="00D84C01">
                            <w:pPr>
                              <w:pStyle w:val="aff0"/>
                              <w:spacing w:line="360" w:lineRule="auto"/>
                              <w:rPr>
                                <w:rFonts w:ascii="ＭＳ ゴシック" w:eastAsia="ＭＳ ゴシック" w:hAnsi="ＭＳ ゴシック"/>
                              </w:rPr>
                            </w:pPr>
                            <w:r w:rsidRPr="009A5CB4">
                              <w:rPr>
                                <w:rFonts w:ascii="ＭＳ ゴシック" w:eastAsia="ＭＳ ゴシック" w:hAnsi="ＭＳ ゴシック"/>
                              </w:rPr>
                              <w:t xml:space="preserve">　</w:t>
                            </w:r>
                          </w:p>
                          <w:p w14:paraId="3B9CA841" w14:textId="41E30F86"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遊佐町</w:t>
                            </w:r>
                            <w:r w:rsidRPr="009A5CB4">
                              <w:rPr>
                                <w:rFonts w:ascii="ＭＳ ゴシック" w:eastAsia="ＭＳ ゴシック" w:hAnsi="ＭＳ ゴシック"/>
                                <w:kern w:val="0"/>
                              </w:rPr>
                              <w:t xml:space="preserve">長　</w:t>
                            </w:r>
                          </w:p>
                        </w:txbxContent>
                      </wps:txbx>
                      <wps:bodyPr lIns="74160" tIns="9000" rIns="74160" bIns="9000">
                        <a:noAutofit/>
                      </wps:bodyPr>
                    </wps:wsp>
                  </a:graphicData>
                </a:graphic>
              </wp:anchor>
            </w:drawing>
          </mc:Choice>
          <mc:Fallback>
            <w:pict>
              <v:rect w14:anchorId="30C36D74" id="Rectangle 8" o:spid="_x0000_s1027" style="position:absolute;margin-left:-12.9pt;margin-top:67.95pt;width:494.8pt;height:127.5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" stroked="f">
                <v:textbox inset="2.06mm,.25mm,2.06mm,.25mm">
                  <w:txbxContent>
                    <w:p w14:paraId="0DAD4A72"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産第　　　　　　号</w:t>
                      </w:r>
                    </w:p>
                    <w:p w14:paraId="4C0DBEAC"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w:t>
                      </w:r>
                    </w:p>
                    <w:p w14:paraId="46589C5C"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申請のとおり、相違ないことを認定します。</w:t>
                      </w:r>
                    </w:p>
                    <w:p w14:paraId="50734106" w14:textId="77777777"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（注）本認定書の有効期間：</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日から</w:t>
                      </w:r>
                      <w:r w:rsidRPr="009A5CB4">
                        <w:rPr>
                          <w:rFonts w:ascii="ＭＳ ゴシック" w:eastAsia="ＭＳ ゴシック" w:hAnsi="ＭＳ ゴシック" w:cs="ＭＳ ゴシック"/>
                          <w:color w:val="000000"/>
                          <w:kern w:val="0"/>
                          <w:szCs w:val="21"/>
                        </w:rPr>
                        <w:t xml:space="preserve">　　</w:t>
                      </w:r>
                      <w:r w:rsidRPr="009A5CB4">
                        <w:rPr>
                          <w:rFonts w:ascii="ＭＳ ゴシック" w:eastAsia="ＭＳ ゴシック" w:hAnsi="ＭＳ ゴシック"/>
                        </w:rPr>
                        <w:t xml:space="preserve">　　年　　月　　日まで</w:t>
                      </w:r>
                    </w:p>
                    <w:p w14:paraId="70926795" w14:textId="77777777" w:rsidR="001709CD" w:rsidRPr="009A5CB4" w:rsidRDefault="00D84C01">
                      <w:pPr>
                        <w:pStyle w:val="aff0"/>
                        <w:spacing w:line="360" w:lineRule="auto"/>
                        <w:rPr>
                          <w:rFonts w:ascii="ＭＳ ゴシック" w:eastAsia="ＭＳ ゴシック" w:hAnsi="ＭＳ ゴシック"/>
                        </w:rPr>
                      </w:pPr>
                      <w:r w:rsidRPr="009A5CB4">
                        <w:rPr>
                          <w:rFonts w:ascii="ＭＳ ゴシック" w:eastAsia="ＭＳ ゴシック" w:hAnsi="ＭＳ ゴシック"/>
                        </w:rPr>
                        <w:t xml:space="preserve">　</w:t>
                      </w:r>
                    </w:p>
                    <w:p w14:paraId="3B9CA841" w14:textId="41E30F86" w:rsidR="001709CD" w:rsidRPr="009A5CB4" w:rsidRDefault="00D84C01">
                      <w:pPr>
                        <w:pStyle w:val="aff0"/>
                        <w:rPr>
                          <w:rFonts w:ascii="ＭＳ ゴシック" w:eastAsia="ＭＳ ゴシック" w:hAnsi="ＭＳ ゴシック"/>
                        </w:rPr>
                      </w:pPr>
                      <w:r w:rsidRPr="009A5CB4">
                        <w:rPr>
                          <w:rFonts w:ascii="ＭＳ ゴシック" w:eastAsia="ＭＳ ゴシック" w:hAnsi="ＭＳ ゴシック"/>
                        </w:rPr>
                        <w:t xml:space="preserve">　　　　　　　　　　　　　　　　　　　　　　　　　遊佐町</w:t>
                      </w:r>
                      <w:r w:rsidRPr="009A5CB4">
                        <w:rPr>
                          <w:rFonts w:ascii="ＭＳ ゴシック" w:eastAsia="ＭＳ ゴシック" w:hAnsi="ＭＳ ゴシック"/>
                          <w:kern w:val="0"/>
                        </w:rPr>
                        <w:t xml:space="preserve">長　</w:t>
                      </w:r>
                    </w:p>
                  </w:txbxContent>
                </v:textbox>
              </v:rect>
            </w:pict>
          </mc:Fallback>
        </mc:AlternateContent>
      </w:r>
      <w:r>
        <w:rPr>
          <w:noProof/>
        </w:rPr>
        <mc:AlternateContent>
          <mc:Choice Requires="wps">
            <w:drawing>
              <wp:anchor distT="0" distB="0" distL="114300" distR="114300" simplePos="0" relativeHeight="4" behindDoc="0" locked="0" layoutInCell="1" allowOverlap="1" wp14:anchorId="53A60C34" wp14:editId="242F0261">
                <wp:simplePos x="0" y="0"/>
                <wp:positionH relativeFrom="column">
                  <wp:posOffset>-106680</wp:posOffset>
                </wp:positionH>
                <wp:positionV relativeFrom="paragraph">
                  <wp:posOffset>810895</wp:posOffset>
                </wp:positionV>
                <wp:extent cx="6226810" cy="1270"/>
                <wp:effectExtent l="11430" t="6350" r="10795" b="12700"/>
                <wp:wrapNone/>
                <wp:docPr id="5" name="AutoShape 9"/>
                <wp:cNvGraphicFramePr/>
                <a:graphic xmlns:a="http://schemas.openxmlformats.org/drawingml/2006/main">
                  <a:graphicData uri="http://schemas.microsoft.com/office/word/2010/wordprocessingShape">
                    <wps:wsp>
                      <wps:cNvSpPr/>
                      <wps:spPr>
                        <a:xfrm>
                          <a:off x="0" y="0"/>
                          <a:ext cx="6226200" cy="720"/>
                        </a:xfrm>
                        <a:custGeom>
                          <a:avLst/>
                          <a:gdLst/>
                          <a:ahLst/>
                          <a:cxnLst/>
                          <a:rect l="l" t="t" r="r" b="b"/>
                          <a:pathLst>
                            <a:path w="21600" h="21600">
                              <a:moveTo>
                                <a:pt x="0" y="0"/>
                              </a:moveTo>
                              <a:lnTo>
                                <a:pt x="21600" y="21600"/>
                              </a:lnTo>
                            </a:path>
                          </a:pathLst>
                        </a:custGeom>
                        <a:noFill/>
                        <a:ln w="12600" cap="rnd">
                          <a:solidFill>
                            <a:srgbClr val="000000"/>
                          </a:solidFill>
                          <a:custDash>
                            <a:ds d="400000" sp="300000"/>
                          </a:custDash>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9" stroked="t" style="position:absolute;margin-left:-8.4pt;margin-top:63.85pt;width:490.2pt;height:0pt" type="shapetype_32">
                <w10:wrap type="none"/>
                <v:fill o:detectmouseclick="t" on="false"/>
                <v:stroke color="black" weight="12600" dashstyle="dash" joinstyle="round" endcap="round"/>
              </v:shape>
            </w:pict>
          </mc:Fallback>
        </mc:AlternateContent>
      </w:r>
    </w:p>
    <w:sectPr w:rsidR="001709CD">
      <w:pgSz w:w="11906" w:h="16838"/>
      <w:pgMar w:top="567" w:right="1701" w:bottom="567" w:left="1701" w:header="0" w:footer="0" w:gutter="0"/>
      <w:cols w:space="720"/>
      <w:formProt w:val="0"/>
      <w:docGrid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8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CD"/>
    <w:rsid w:val="001709CD"/>
    <w:rsid w:val="009A5CB4"/>
    <w:rsid w:val="00D84C0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30E8A4"/>
  <w15:docId w15:val="{5F7CD0AB-F661-4BB0-8471-FCAC48F2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style>
  <w:style w:type="paragraph" w:styleId="1">
    <w:name w:val="heading 1"/>
    <w:basedOn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qFormat/>
    <w:rsid w:val="00A830D4"/>
    <w:rPr>
      <w:rFonts w:asciiTheme="majorHAnsi" w:eastAsiaTheme="majorEastAsia" w:hAnsiTheme="majorHAnsi" w:cstheme="majorBidi"/>
    </w:rPr>
  </w:style>
  <w:style w:type="character" w:customStyle="1" w:styleId="a3">
    <w:name w:val="ヘッダー (文字)"/>
    <w:basedOn w:val="a0"/>
    <w:uiPriority w:val="99"/>
    <w:qFormat/>
    <w:rsid w:val="001D602D"/>
  </w:style>
  <w:style w:type="character" w:customStyle="1" w:styleId="a4">
    <w:name w:val="フッター (文字)"/>
    <w:basedOn w:val="a0"/>
    <w:uiPriority w:val="99"/>
    <w:qFormat/>
    <w:rsid w:val="001D602D"/>
  </w:style>
  <w:style w:type="character" w:customStyle="1" w:styleId="a5">
    <w:name w:val="吹き出し (文字)"/>
    <w:basedOn w:val="a0"/>
    <w:uiPriority w:val="99"/>
    <w:semiHidden/>
    <w:qFormat/>
    <w:rsid w:val="001D602D"/>
    <w:rPr>
      <w:rFonts w:asciiTheme="majorHAnsi" w:eastAsiaTheme="majorEastAsia" w:hAnsiTheme="majorHAnsi" w:cstheme="majorBidi"/>
      <w:sz w:val="18"/>
      <w:szCs w:val="18"/>
    </w:rPr>
  </w:style>
  <w:style w:type="character" w:styleId="a6">
    <w:name w:val="Placeholder Text"/>
    <w:basedOn w:val="a0"/>
    <w:uiPriority w:val="99"/>
    <w:semiHidden/>
    <w:qFormat/>
    <w:rsid w:val="001D602D"/>
    <w:rPr>
      <w:color w:val="808080"/>
    </w:rPr>
  </w:style>
  <w:style w:type="character" w:styleId="a7">
    <w:name w:val="annotation reference"/>
    <w:basedOn w:val="a0"/>
    <w:semiHidden/>
    <w:unhideWhenUsed/>
    <w:qFormat/>
    <w:rsid w:val="009F35F4"/>
    <w:rPr>
      <w:sz w:val="18"/>
      <w:szCs w:val="18"/>
    </w:rPr>
  </w:style>
  <w:style w:type="character" w:customStyle="1" w:styleId="a8">
    <w:name w:val="コメント文字列 (文字)"/>
    <w:basedOn w:val="a0"/>
    <w:semiHidden/>
    <w:qFormat/>
    <w:rsid w:val="009F35F4"/>
  </w:style>
  <w:style w:type="character" w:customStyle="1" w:styleId="a9">
    <w:name w:val="コメント内容 (文字)"/>
    <w:basedOn w:val="a8"/>
    <w:uiPriority w:val="99"/>
    <w:semiHidden/>
    <w:qFormat/>
    <w:rsid w:val="009F35F4"/>
    <w:rPr>
      <w:b/>
      <w:bCs/>
    </w:rPr>
  </w:style>
  <w:style w:type="character" w:styleId="aa">
    <w:name w:val="page number"/>
    <w:basedOn w:val="a0"/>
    <w:qFormat/>
    <w:rsid w:val="006920E0"/>
  </w:style>
  <w:style w:type="character" w:customStyle="1" w:styleId="ab">
    <w:name w:val="日付 (文字)"/>
    <w:basedOn w:val="a0"/>
    <w:qFormat/>
    <w:rsid w:val="006920E0"/>
    <w:rPr>
      <w:rFonts w:ascii="Century" w:eastAsia="ＭＳ 明朝" w:hAnsi="Century" w:cs="Times New Roman"/>
      <w:szCs w:val="24"/>
    </w:rPr>
  </w:style>
  <w:style w:type="character" w:customStyle="1" w:styleId="ac">
    <w:name w:val="書式なし (文字)"/>
    <w:basedOn w:val="a0"/>
    <w:uiPriority w:val="99"/>
    <w:qFormat/>
    <w:rsid w:val="006920E0"/>
    <w:rPr>
      <w:rFonts w:ascii="ＭＳ ゴシック" w:eastAsia="ＭＳ ゴシック" w:hAnsi="ＭＳ ゴシック" w:cs="Times New Roman"/>
      <w:sz w:val="20"/>
      <w:szCs w:val="21"/>
    </w:rPr>
  </w:style>
  <w:style w:type="character" w:customStyle="1" w:styleId="ad">
    <w:name w:val="記 (文字)"/>
    <w:basedOn w:val="a0"/>
    <w:qFormat/>
    <w:rsid w:val="006920E0"/>
    <w:rPr>
      <w:rFonts w:ascii="ＭＳ ゴシック" w:eastAsia="ＭＳ ゴシック" w:hAnsi="ＭＳ ゴシック" w:cs="ＭＳ ゴシック"/>
      <w:color w:val="000000"/>
      <w:kern w:val="0"/>
      <w:szCs w:val="21"/>
    </w:rPr>
  </w:style>
  <w:style w:type="character" w:customStyle="1" w:styleId="ae">
    <w:name w:val="結語 (文字)"/>
    <w:basedOn w:val="a0"/>
    <w:qFormat/>
    <w:rsid w:val="006920E0"/>
    <w:rPr>
      <w:rFonts w:ascii="ＭＳ ゴシック" w:eastAsia="ＭＳ ゴシック" w:hAnsi="ＭＳ ゴシック" w:cs="ＭＳ ゴシック"/>
      <w:color w:val="000000"/>
      <w:kern w:val="0"/>
      <w:szCs w:val="21"/>
    </w:rPr>
  </w:style>
  <w:style w:type="paragraph" w:customStyle="1" w:styleId="af">
    <w:name w:val="見出し"/>
    <w:basedOn w:val="a"/>
    <w:next w:val="af0"/>
    <w:qFormat/>
    <w:pPr>
      <w:keepNext/>
      <w:spacing w:before="240" w:after="120"/>
    </w:pPr>
    <w:rPr>
      <w:rFonts w:ascii="Liberation Sans" w:eastAsia="ＭＳ ゴシック" w:hAnsi="Liberation Sans" w:cs="Arial"/>
      <w:sz w:val="28"/>
      <w:szCs w:val="28"/>
    </w:rPr>
  </w:style>
  <w:style w:type="paragraph" w:styleId="af0">
    <w:name w:val="Body Text"/>
    <w:basedOn w:val="a"/>
    <w:pPr>
      <w:spacing w:after="140" w:line="288"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customStyle="1" w:styleId="af3">
    <w:name w:val="索引"/>
    <w:basedOn w:val="a"/>
    <w:qFormat/>
    <w:pPr>
      <w:suppressLineNumbers/>
    </w:pPr>
    <w:rPr>
      <w:rFonts w:cs="Arial"/>
    </w:rPr>
  </w:style>
  <w:style w:type="paragraph" w:styleId="af4">
    <w:name w:val="TOC Heading"/>
    <w:basedOn w:val="1"/>
    <w:uiPriority w:val="39"/>
    <w:semiHidden/>
    <w:unhideWhenUsed/>
    <w:qFormat/>
    <w:rsid w:val="00A830D4"/>
  </w:style>
  <w:style w:type="paragraph" w:styleId="af5">
    <w:name w:val="header"/>
    <w:basedOn w:val="a"/>
    <w:uiPriority w:val="99"/>
    <w:unhideWhenUsed/>
    <w:rsid w:val="001D602D"/>
    <w:pPr>
      <w:tabs>
        <w:tab w:val="center" w:pos="4252"/>
        <w:tab w:val="right" w:pos="8504"/>
      </w:tabs>
      <w:snapToGrid w:val="0"/>
    </w:pPr>
  </w:style>
  <w:style w:type="paragraph" w:styleId="af6">
    <w:name w:val="footer"/>
    <w:basedOn w:val="a"/>
    <w:uiPriority w:val="99"/>
    <w:unhideWhenUsed/>
    <w:rsid w:val="001D602D"/>
    <w:pPr>
      <w:tabs>
        <w:tab w:val="center" w:pos="4252"/>
        <w:tab w:val="right" w:pos="8504"/>
      </w:tabs>
      <w:snapToGrid w:val="0"/>
    </w:pPr>
  </w:style>
  <w:style w:type="paragraph" w:styleId="af7">
    <w:name w:val="Balloon Text"/>
    <w:basedOn w:val="a"/>
    <w:semiHidden/>
    <w:unhideWhenUsed/>
    <w:qFormat/>
    <w:rsid w:val="001D602D"/>
    <w:rPr>
      <w:rFonts w:asciiTheme="majorHAnsi" w:eastAsiaTheme="majorEastAsia" w:hAnsiTheme="majorHAnsi" w:cstheme="majorBidi"/>
      <w:sz w:val="18"/>
      <w:szCs w:val="18"/>
    </w:rPr>
  </w:style>
  <w:style w:type="paragraph" w:styleId="af8">
    <w:name w:val="annotation text"/>
    <w:basedOn w:val="a"/>
    <w:semiHidden/>
    <w:unhideWhenUsed/>
    <w:qFormat/>
    <w:rsid w:val="009F35F4"/>
    <w:pPr>
      <w:jc w:val="left"/>
    </w:pPr>
  </w:style>
  <w:style w:type="paragraph" w:styleId="af9">
    <w:name w:val="annotation subject"/>
    <w:basedOn w:val="af8"/>
    <w:semiHidden/>
    <w:unhideWhenUsed/>
    <w:qFormat/>
    <w:rsid w:val="009F35F4"/>
    <w:rPr>
      <w:b/>
      <w:bCs/>
    </w:rPr>
  </w:style>
  <w:style w:type="paragraph" w:styleId="afa">
    <w:name w:val="Revision"/>
    <w:uiPriority w:val="99"/>
    <w:semiHidden/>
    <w:qFormat/>
    <w:rsid w:val="00B07FA6"/>
  </w:style>
  <w:style w:type="paragraph" w:styleId="afb">
    <w:name w:val="List Paragraph"/>
    <w:basedOn w:val="a"/>
    <w:uiPriority w:val="34"/>
    <w:qFormat/>
    <w:rsid w:val="006920E0"/>
    <w:pPr>
      <w:ind w:left="840"/>
    </w:pPr>
    <w:rPr>
      <w:rFonts w:ascii="Century" w:eastAsia="ＭＳ 明朝" w:hAnsi="Century" w:cs="Times New Roman"/>
    </w:rPr>
  </w:style>
  <w:style w:type="paragraph" w:styleId="afc">
    <w:name w:val="Date"/>
    <w:basedOn w:val="a"/>
    <w:qFormat/>
    <w:rsid w:val="006920E0"/>
    <w:rPr>
      <w:rFonts w:ascii="Century" w:eastAsia="ＭＳ 明朝" w:hAnsi="Century" w:cs="Times New Roman"/>
      <w:szCs w:val="24"/>
    </w:rPr>
  </w:style>
  <w:style w:type="paragraph" w:styleId="afd">
    <w:name w:val="Plain Text"/>
    <w:basedOn w:val="a"/>
    <w:uiPriority w:val="99"/>
    <w:unhideWhenUsed/>
    <w:qFormat/>
    <w:rsid w:val="006920E0"/>
    <w:pPr>
      <w:jc w:val="left"/>
    </w:pPr>
    <w:rPr>
      <w:rFonts w:ascii="ＭＳ ゴシック" w:eastAsia="ＭＳ ゴシック" w:hAnsi="ＭＳ ゴシック" w:cs="Times New Roman"/>
      <w:sz w:val="20"/>
      <w:szCs w:val="21"/>
    </w:rPr>
  </w:style>
  <w:style w:type="paragraph" w:styleId="afe">
    <w:name w:val="Note Heading"/>
    <w:basedOn w:val="a"/>
    <w:qFormat/>
    <w:rsid w:val="006920E0"/>
    <w:pPr>
      <w:jc w:val="center"/>
    </w:pPr>
    <w:rPr>
      <w:rFonts w:ascii="ＭＳ ゴシック" w:eastAsia="ＭＳ ゴシック" w:hAnsi="ＭＳ ゴシック" w:cs="ＭＳ ゴシック"/>
      <w:color w:val="000000"/>
      <w:kern w:val="0"/>
      <w:szCs w:val="21"/>
    </w:rPr>
  </w:style>
  <w:style w:type="paragraph" w:styleId="aff">
    <w:name w:val="Closing"/>
    <w:basedOn w:val="a"/>
    <w:qFormat/>
    <w:rsid w:val="006920E0"/>
    <w:pPr>
      <w:jc w:val="right"/>
    </w:pPr>
    <w:rPr>
      <w:rFonts w:ascii="ＭＳ ゴシック" w:eastAsia="ＭＳ ゴシック" w:hAnsi="ＭＳ ゴシック" w:cs="ＭＳ ゴシック"/>
      <w:color w:val="000000"/>
      <w:kern w:val="0"/>
      <w:szCs w:val="21"/>
    </w:rPr>
  </w:style>
  <w:style w:type="paragraph" w:customStyle="1" w:styleId="aff0">
    <w:name w:val="枠の内容"/>
    <w:basedOn w:val="a"/>
    <w:qFormat/>
  </w:style>
  <w:style w:type="table" w:styleId="aff1">
    <w:name w:val="Table Grid"/>
    <w:basedOn w:val="a1"/>
    <w:rsid w:val="006920E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BE4E-6907-4363-812E-63AF0DF7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経済産業省</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dc:description/>
  <cp:lastModifiedBy>金内　一馬</cp:lastModifiedBy>
  <cp:revision>4</cp:revision>
  <cp:lastPrinted>2024-05-31T05:24:00Z</cp:lastPrinted>
  <dcterms:created xsi:type="dcterms:W3CDTF">2024-05-29T04:07:00Z</dcterms:created>
  <dcterms:modified xsi:type="dcterms:W3CDTF">2024-05-31T05:24:00Z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経済産業省</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