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394" w:type="dxa"/>
        <w:jc w:val="left"/>
        <w:tblInd w:w="5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tblGrid>
      <w:tr>
        <w:trPr>
          <w:trHeight w:val="334"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7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様式第５－（ロ）－②</w:t>
      </w:r>
    </w:p>
    <w:tbl>
      <w:tblPr>
        <w:tblW w:w="10035"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10035"/>
      </w:tblGrid>
      <w:tr>
        <w:trPr/>
        <w:tc>
          <w:tcPr>
            <w:tcW w:w="10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中小企業信用保険法第２条第５項第５号の規定による認定申請書（ロ－②）</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695"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876"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申請者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exact" w:line="240"/>
              <w:ind w:right="876"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氏　名　　　　　　　　　　　　　 印</w:t>
            </w:r>
          </w:p>
          <w:p>
            <w:pPr>
              <w:pStyle w:val="Normal"/>
              <w:suppressAutoHyphens w:val="true"/>
              <w:overflowPunct w:val="true"/>
              <w:spacing w:lineRule="exact" w:line="18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487" w:hanging="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私は、</w:t>
            </w:r>
            <w:r>
              <w:rPr>
                <w:rFonts w:ascii="ＭＳ ゴシック" w:hAnsi="ＭＳ ゴシック" w:cs="ＭＳ ゴシック" w:eastAsia="ＭＳ ゴシック"/>
                <w:color w:val="000000"/>
                <w:kern w:val="0"/>
                <w:szCs w:val="21"/>
                <w:u w:val="single"/>
              </w:rPr>
              <w:t>　　　　　業（注２）</w:t>
            </w:r>
            <w:r>
              <w:rPr>
                <w:rFonts w:ascii="ＭＳ ゴシック" w:hAnsi="ＭＳ ゴシック" w:cs="ＭＳ ゴシック" w:eastAsia="ＭＳ ゴシック"/>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記</w:t>
            </w:r>
          </w:p>
          <w:p>
            <w:pPr>
              <w:pStyle w:val="Normal"/>
              <w:suppressAutoHyphens w:val="true"/>
              <w:overflowPunct w:val="true"/>
              <w:spacing w:lineRule="exact" w:line="12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①</w:t>
            </w:r>
            <w:r>
              <w:rPr>
                <w:rFonts w:ascii="ＭＳ ゴシック" w:hAnsi="ＭＳ ゴシック" w:cs="ＭＳ ゴシック" w:eastAsia="ＭＳ ゴシック"/>
                <w:color w:val="000000"/>
                <w:kern w:val="0"/>
                <w:szCs w:val="21"/>
              </w:rPr>
              <w:t>原油等の仕入単価の上昇（注３）</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u w:val="single" w:color="000000"/>
              </w:rPr>
              <w:t xml:space="preserve">Ｅ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主たる業種に係る上昇率</w:t>
            </w:r>
            <w:r>
              <w:rPr>
                <w:rFonts w:eastAsia="ＭＳ ゴシック" w:cs="ＭＳ ゴシック" w:ascii="ＭＳ ゴシック" w:hAnsi="ＭＳ ゴシック"/>
                <w:color w:val="000000"/>
                <w:kern w:val="0"/>
                <w:szCs w:val="21"/>
                <w:u w:val="single"/>
              </w:rPr>
              <w:softHyphen/>
              <w:softHyphen/>
            </w:r>
            <w:r>
              <w:rPr>
                <w:rFonts w:ascii="ＭＳ ゴシック" w:hAnsi="ＭＳ ゴシック" w:cs="ＭＳ ゴシック" w:eastAsia="ＭＳ ゴシック"/>
                <w:color w:val="000000"/>
                <w:kern w:val="0"/>
                <w:szCs w:val="21"/>
                <w:u w:val="single"/>
              </w:rPr>
              <w:t>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ｅ  </w:t>
            </w:r>
            <w:r>
              <w:rPr>
                <w:rFonts w:eastAsia="ＭＳ ゴシック" w:cs="ＭＳ ゴシック" w:ascii="ＭＳ ゴシック" w:hAnsi="ＭＳ ゴシック"/>
                <w:color w:val="000000"/>
                <w:kern w:val="0"/>
                <w:szCs w:val="21"/>
              </w:rPr>
              <w:t>×100</w:t>
            </w:r>
            <w:r>
              <w:rPr>
                <w:rFonts w:ascii="ＭＳ ゴシック" w:hAnsi="ＭＳ ゴシック" w:cs="ＭＳ ゴシック" w:eastAsia="ＭＳ ゴシック"/>
                <w:color w:val="000000"/>
                <w:kern w:val="0"/>
                <w:szCs w:val="21"/>
              </w:rPr>
              <w:t>－</w:t>
            </w:r>
            <w:r>
              <w:rPr>
                <w:rFonts w:eastAsia="ＭＳ ゴシック" w:cs="ＭＳ ゴシック" w:ascii="ＭＳ ゴシック" w:hAnsi="ＭＳ ゴシック"/>
                <w:color w:val="000000"/>
                <w:kern w:val="0"/>
                <w:szCs w:val="21"/>
              </w:rPr>
              <w:t>100</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rPr>
              <w:t>全体に係る上昇率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Ｅ：原油等の最近１か月間における平均仕入れ単価</w:t>
            </w:r>
            <w:r>
              <w:rPr>
                <w:rFonts w:ascii="ＭＳ ゴシック" w:hAnsi="ＭＳ ゴシック" w:eastAsia="ＭＳ ゴシック"/>
                <w:color w:val="000000"/>
                <w:spacing w:val="16"/>
                <w:kern w:val="0"/>
                <w:szCs w:val="21"/>
              </w:rPr>
              <w:t>　</w:t>
            </w:r>
            <w:r>
              <w:rPr>
                <w:rFonts w:ascii="ＭＳ ゴシック" w:hAnsi="ＭＳ ゴシック" w:eastAsia="ＭＳ ゴシック"/>
                <w:color w:val="000000"/>
                <w:spacing w:val="16"/>
                <w:kern w:val="0"/>
                <w:szCs w:val="21"/>
                <w:u w:val="single"/>
              </w:rPr>
              <w:t>主たる業種に係る平均仕入単価　　　　円</w:t>
            </w:r>
          </w:p>
          <w:p>
            <w:pPr>
              <w:pStyle w:val="Normal"/>
              <w:suppressAutoHyphens w:val="true"/>
              <w:overflowPunct w:val="true"/>
              <w:spacing w:lineRule="exact" w:line="240"/>
              <w:ind w:firstLine="5324"/>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u w:val="single"/>
              </w:rPr>
              <w:t>全体に係る平均仕入単価</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ｅ：Ｅの期間に対応する前年１か月間の平均仕入れ単価</w:t>
            </w:r>
            <w:r>
              <w:rPr>
                <w:rFonts w:ascii="ＭＳ ゴシック" w:hAnsi="ＭＳ ゴシック" w:eastAsia="ＭＳ ゴシック"/>
                <w:color w:val="000000"/>
                <w:spacing w:val="16"/>
                <w:kern w:val="0"/>
                <w:szCs w:val="21"/>
              </w:rPr>
              <w:t>　</w:t>
            </w:r>
            <w:r>
              <w:rPr>
                <w:rFonts w:ascii="ＭＳ ゴシック" w:hAnsi="ＭＳ ゴシック" w:eastAsia="ＭＳ ゴシック"/>
                <w:color w:val="000000"/>
                <w:spacing w:val="16"/>
                <w:kern w:val="0"/>
                <w:szCs w:val="21"/>
                <w:u w:val="single"/>
              </w:rPr>
              <w:t>主たる業種に係る平均仕入単価　　円</w:t>
            </w:r>
          </w:p>
          <w:p>
            <w:pPr>
              <w:pStyle w:val="Normal"/>
              <w:suppressAutoHyphens w:val="true"/>
              <w:overflowPunct w:val="true"/>
              <w:spacing w:lineRule="exact" w:line="240"/>
              <w:ind w:firstLine="5808"/>
              <w:textAlignment w:val="baseline"/>
              <w:rPr>
                <w:rFonts w:ascii="ＭＳ ゴシック" w:hAnsi="ＭＳ ゴシック" w:eastAsia="ＭＳ ゴシック"/>
                <w:color w:val="000000"/>
                <w:spacing w:val="16"/>
                <w:kern w:val="0"/>
                <w:szCs w:val="21"/>
              </w:rPr>
            </w:pPr>
            <w:r>
              <w:rPr>
                <w:rFonts w:ascii="ＭＳ ゴシック" w:hAnsi="ＭＳ ゴシック" w:eastAsia="ＭＳ ゴシック"/>
                <w:color w:val="000000"/>
                <w:spacing w:val="16"/>
                <w:kern w:val="0"/>
                <w:szCs w:val="21"/>
                <w:u w:val="single"/>
              </w:rPr>
              <w:t>全体に係る平均仕入単価</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②</w:t>
            </w:r>
            <w:r>
              <w:rPr>
                <w:rFonts w:ascii="ＭＳ ゴシック" w:hAnsi="ＭＳ ゴシック" w:cs="ＭＳ ゴシック" w:eastAsia="ＭＳ ゴシック"/>
                <w:color w:val="000000"/>
                <w:kern w:val="0"/>
                <w:szCs w:val="21"/>
              </w:rPr>
              <w:t>原油等が売上原価に占める割合（注３）</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Ｓ</w:t>
            </w:r>
            <w:r>
              <w:rPr>
                <w:rFonts w:ascii="ＭＳ ゴシック" w:hAnsi="ＭＳ ゴシック" w:cs="ＭＳ ゴシック" w:eastAsia="ＭＳ ゴシック"/>
                <w:color w:val="000000"/>
                <w:kern w:val="0"/>
                <w:szCs w:val="21"/>
                <w:u w:val="none" w:color="000000"/>
              </w:rPr>
              <w:t xml:space="preserve">                                 　　　　</w:t>
            </w:r>
            <w:r>
              <w:rPr>
                <w:rFonts w:ascii="ＭＳ ゴシック" w:hAnsi="ＭＳ ゴシック" w:cs="ＭＳ ゴシック" w:eastAsia="ＭＳ ゴシック"/>
                <w:color w:val="000000"/>
                <w:kern w:val="0"/>
                <w:szCs w:val="21"/>
                <w:u w:val="single"/>
              </w:rPr>
              <w:t>主たる業種に係る依存率</w:t>
            </w:r>
            <w:r>
              <w:rPr>
                <w:rFonts w:ascii="ＭＳ ゴシック" w:hAnsi="ＭＳ ゴシック" w:cs="ＭＳ ゴシック" w:eastAsia="ＭＳ ゴシック"/>
                <w:color w:val="000000"/>
                <w:kern w:val="0"/>
                <w:szCs w:val="21"/>
                <w:u w:val="single" w:color="000000"/>
              </w:rPr>
              <w:t>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Ｃ   </w:t>
            </w:r>
            <w:r>
              <w:rPr>
                <w:rFonts w:eastAsia="ＭＳ ゴシック" w:cs="ＭＳ ゴシック" w:ascii="ＭＳ ゴシック" w:hAnsi="ＭＳ ゴシック"/>
                <w:color w:val="000000"/>
                <w:kern w:val="0"/>
                <w:szCs w:val="21"/>
              </w:rPr>
              <w:t xml:space="preserve">×100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全体に係る依存率</w:t>
            </w:r>
            <w:r>
              <w:rPr>
                <w:rFonts w:ascii="ＭＳ ゴシック" w:hAnsi="ＭＳ ゴシック" w:cs="ＭＳ ゴシック" w:eastAsia="ＭＳ ゴシック"/>
                <w:color w:val="000000"/>
                <w:kern w:val="0"/>
                <w:szCs w:val="21"/>
                <w:u w:val="single" w:color="000000"/>
              </w:rPr>
              <w:t>　　　　　 　　       ％</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Ｃ：申込時点における最新の売上原価</w:t>
            </w:r>
            <w:r>
              <w:rPr>
                <w:rFonts w:ascii="ＭＳ ゴシック" w:hAnsi="ＭＳ ゴシック" w:eastAsia="ＭＳ ゴシック"/>
                <w:color w:val="000000"/>
                <w:spacing w:val="16"/>
                <w:kern w:val="0"/>
                <w:szCs w:val="21"/>
              </w:rPr>
              <w:t xml:space="preserve">     　　　</w:t>
            </w:r>
            <w:r>
              <w:rPr>
                <w:rFonts w:ascii="ＭＳ ゴシック" w:hAnsi="ＭＳ ゴシック" w:eastAsia="ＭＳ ゴシック"/>
                <w:color w:val="000000"/>
                <w:spacing w:val="16"/>
                <w:kern w:val="0"/>
                <w:szCs w:val="21"/>
                <w:u w:val="single"/>
              </w:rPr>
              <w:t>主たる業種に係る売上原価</w:t>
            </w:r>
            <w:r>
              <w:rPr>
                <w:rFonts w:ascii="ＭＳ ゴシック" w:hAnsi="ＭＳ ゴシック" w:cs="ＭＳ ゴシック" w:eastAsia="ＭＳ ゴシック"/>
                <w:color w:val="000000"/>
                <w:kern w:val="0"/>
                <w:szCs w:val="21"/>
                <w:u w:val="single" w:color="000000"/>
              </w:rPr>
              <w:t>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color="000000"/>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全体にかかる売上原価</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Ｓ：Ｃの売上原価に対応する原油等の仕入価格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eastAsia="ＭＳ ゴシック"/>
                <w:color w:val="000000"/>
                <w:spacing w:val="16"/>
                <w:kern w:val="0"/>
                <w:szCs w:val="21"/>
                <w:u w:val="single"/>
              </w:rPr>
              <w:t>主たる業種に係る仕入れ価格</w:t>
            </w:r>
            <w:r>
              <w:rPr>
                <w:rFonts w:ascii="ＭＳ ゴシック" w:hAnsi="ＭＳ ゴシック" w:cs="ＭＳ ゴシック" w:eastAsia="ＭＳ ゴシック"/>
                <w:color w:val="000000"/>
                <w:kern w:val="0"/>
                <w:szCs w:val="21"/>
                <w:u w:val="single" w:color="000000"/>
              </w:rPr>
              <w:t>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color="000000"/>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全体に係る仕入れ価格</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③</w:t>
            </w:r>
            <w:r>
              <w:rPr>
                <w:rFonts w:ascii="ＭＳ ゴシック" w:hAnsi="ＭＳ ゴシック" w:cs="ＭＳ ゴシック" w:eastAsia="ＭＳ ゴシック"/>
                <w:color w:val="000000"/>
                <w:kern w:val="0"/>
                <w:szCs w:val="21"/>
              </w:rPr>
              <w:t>製品等価格への転嫁の状況（注４）</w:t>
            </w:r>
          </w:p>
          <w:p>
            <w:pPr>
              <w:pStyle w:val="Normal"/>
              <w:tabs>
                <w:tab w:val="center" w:pos="4252" w:leader="none"/>
                <w:tab w:val="right" w:pos="8504" w:leader="none"/>
              </w:tabs>
              <w:suppressAutoHyphens w:val="true"/>
              <w:overflowPunct w:val="true"/>
              <w:snapToGrid w:val="false"/>
              <w:spacing w:lineRule="exact" w:line="230"/>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u w:val="single" w:color="000000"/>
              </w:rPr>
              <w:t xml:space="preserve">Ａ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w:t>
            </w: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color="000000"/>
              </w:rPr>
              <w:t xml:space="preserve"> ａ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rPr>
              <w:t>主たる業種に係る転嫁の状況　Ｐ＝　　　　</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Ｂ　　    ｂ  　＝Ｐ   　　　　　　    </w:t>
            </w:r>
            <w:r>
              <w:rPr>
                <w:rFonts w:ascii="ＭＳ ゴシック" w:hAnsi="ＭＳ ゴシック" w:cs="ＭＳ ゴシック" w:eastAsia="ＭＳ ゴシック"/>
                <w:color w:val="000000"/>
                <w:kern w:val="0"/>
                <w:szCs w:val="21"/>
                <w:u w:val="single"/>
              </w:rPr>
              <w:t>全体に係る転嫁の状況</w:t>
            </w:r>
            <w:r>
              <w:rPr>
                <w:rFonts w:ascii="ＭＳ ゴシック" w:hAnsi="ＭＳ ゴシック" w:cs="ＭＳ ゴシック" w:eastAsia="ＭＳ ゴシック"/>
                <w:color w:val="000000"/>
                <w:kern w:val="0"/>
                <w:szCs w:val="21"/>
                <w:u w:val="single" w:color="000000"/>
              </w:rPr>
              <w:t>　Ｐ＝ 　　　　　 　</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Ａ：申込時点における最近３か月間の原油等の仕入価格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eastAsia="ＭＳ ゴシック"/>
                <w:color w:val="000000"/>
                <w:spacing w:val="16"/>
                <w:kern w:val="0"/>
                <w:szCs w:val="21"/>
                <w:u w:val="single"/>
              </w:rPr>
              <w:t>主たる業種に係る仕入価格</w:t>
            </w:r>
            <w:r>
              <w:rPr>
                <w:rFonts w:ascii="ＭＳ ゴシック" w:hAnsi="ＭＳ ゴシック" w:cs="ＭＳ ゴシック" w:eastAsia="ＭＳ ゴシック"/>
                <w:color w:val="000000"/>
                <w:kern w:val="0"/>
                <w:szCs w:val="21"/>
                <w:u w:val="single" w:color="000000"/>
              </w:rPr>
              <w:t>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color="000000"/>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全体に係る仕入価格</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ａ：Ａの期間に対応する前年３か月間の原油等の仕入価格</w:t>
            </w:r>
            <w:r>
              <w:rPr>
                <w:rFonts w:ascii="ＭＳ ゴシック" w:hAnsi="ＭＳ ゴシック" w:eastAsia="ＭＳ ゴシック"/>
                <w:color w:val="000000"/>
                <w:spacing w:val="16"/>
                <w:kern w:val="0"/>
                <w:szCs w:val="21"/>
              </w:rPr>
              <w:t xml:space="preserve"> </w:t>
            </w:r>
            <w:r>
              <w:rPr>
                <w:rFonts w:ascii="ＭＳ ゴシック" w:hAnsi="ＭＳ ゴシック" w:eastAsia="ＭＳ ゴシック"/>
                <w:color w:val="000000"/>
                <w:spacing w:val="16"/>
                <w:kern w:val="0"/>
                <w:szCs w:val="21"/>
                <w:u w:val="single"/>
              </w:rPr>
              <w:t>主たる業種に係る仕入価格</w:t>
            </w:r>
            <w:r>
              <w:rPr>
                <w:rFonts w:ascii="ＭＳ ゴシック" w:hAnsi="ＭＳ ゴシック" w:cs="ＭＳ ゴシック" w:eastAsia="ＭＳ ゴシック"/>
                <w:color w:val="000000"/>
                <w:kern w:val="0"/>
                <w:szCs w:val="21"/>
                <w:u w:val="single" w:color="000000"/>
              </w:rPr>
              <w:t xml:space="preserve">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全体に係る仕入価格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Ｂ：申込時点における最近３か月間の売上高</w:t>
            </w:r>
            <w:r>
              <w:rPr>
                <w:rFonts w:ascii="ＭＳ ゴシック" w:hAnsi="ＭＳ ゴシック" w:eastAsia="ＭＳ ゴシック"/>
                <w:color w:val="000000"/>
                <w:spacing w:val="16"/>
                <w:kern w:val="0"/>
                <w:szCs w:val="21"/>
              </w:rPr>
              <w:t xml:space="preserve">          </w:t>
            </w:r>
            <w:r>
              <w:rPr>
                <w:rFonts w:ascii="ＭＳ ゴシック" w:hAnsi="ＭＳ ゴシック" w:cs="ＭＳ ゴシック" w:eastAsia="ＭＳ ゴシック"/>
                <w:color w:val="000000"/>
                <w:kern w:val="0"/>
                <w:szCs w:val="21"/>
                <w:u w:val="single" w:color="000000"/>
              </w:rPr>
              <w:t>主たる業種に係る売上高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全体に係る売上高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ｂ：Ｂの期間に対応する前年３か月間の売上高</w:t>
            </w:r>
            <w:r>
              <w:rPr>
                <w:rFonts w:ascii="ＭＳ ゴシック" w:hAnsi="ＭＳ ゴシック" w:eastAsia="ＭＳ ゴシック"/>
                <w:color w:val="000000"/>
                <w:spacing w:val="16"/>
                <w:kern w:val="0"/>
                <w:szCs w:val="21"/>
              </w:rPr>
              <w:t xml:space="preserve">        </w:t>
            </w:r>
            <w:r>
              <w:rPr>
                <w:rFonts w:ascii="ＭＳ ゴシック" w:hAnsi="ＭＳ ゴシック" w:eastAsia="ＭＳ ゴシック"/>
                <w:color w:val="000000"/>
                <w:spacing w:val="16"/>
                <w:kern w:val="0"/>
                <w:szCs w:val="21"/>
                <w:u w:val="single"/>
              </w:rPr>
              <w:t>主たる業種に係る売上高</w:t>
            </w:r>
            <w:r>
              <w:rPr>
                <w:rFonts w:ascii="ＭＳ ゴシック" w:hAnsi="ＭＳ ゴシック" w:cs="ＭＳ ゴシック" w:eastAsia="ＭＳ ゴシック"/>
                <w:color w:val="000000"/>
                <w:kern w:val="0"/>
                <w:szCs w:val="21"/>
                <w:u w:val="single" w:color="000000"/>
              </w:rPr>
              <w:t xml:space="preserve">          円</w:t>
            </w:r>
          </w:p>
          <w:p>
            <w:pPr>
              <w:pStyle w:val="Normal"/>
              <w:tabs>
                <w:tab w:val="center" w:pos="4252" w:leader="none"/>
                <w:tab w:val="right" w:pos="8504" w:leader="none"/>
              </w:tabs>
              <w:suppressAutoHyphens w:val="true"/>
              <w:overflowPunct w:val="true"/>
              <w:snapToGrid w:val="false"/>
              <w:spacing w:lineRule="exact" w:line="240"/>
              <w:jc w:val="left"/>
              <w:textAlignment w:val="baseline"/>
              <w:rPr>
                <w:rFonts w:ascii="ＭＳ ゴシック" w:hAnsi="ＭＳ ゴシック" w:eastAsia="ＭＳ ゴシック"/>
                <w:color w:val="000000"/>
                <w:spacing w:val="16"/>
                <w:kern w:val="0"/>
                <w:szCs w:val="21"/>
                <w:u w:val="single" w:color="000000"/>
              </w:rPr>
            </w:pP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rPr>
              <w:t>全体に係る売上高　</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exact" w:line="10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（注２）</w:t>
      </w:r>
      <w:r>
        <w:rPr>
          <w:rFonts w:ascii="ＭＳ ゴシック" w:hAnsi="ＭＳ ゴシック" w:eastAsia="ＭＳ ゴシック"/>
          <w:color w:val="000000"/>
          <w:spacing w:val="16"/>
          <w:kern w:val="0"/>
          <w:szCs w:val="21"/>
          <w:u w:val="single"/>
        </w:rPr>
        <w:t>　　　　　</w:t>
      </w:r>
      <w:r>
        <w:rPr>
          <w:rFonts w:ascii="ＭＳ ゴシック" w:hAnsi="ＭＳ ゴシック" w:eastAsia="ＭＳ ゴシック"/>
          <w:color w:val="000000"/>
          <w:spacing w:val="16"/>
          <w:kern w:val="0"/>
          <w:szCs w:val="21"/>
        </w:rPr>
        <w:t>には、主たる事業が属する指定業種（日本標準産業分類の細分類番号と細分類業種名）を記載。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（注３）主たる業種及び申請者全体の原油等の仕入単価、売上原価、原油等の仕入価格を記載。上昇率及び依存率が２０％以上となっていること。</w:t>
      </w:r>
    </w:p>
    <w:p>
      <w:pPr>
        <w:pStyle w:val="Normal"/>
        <w:suppressAutoHyphens w:val="true"/>
        <w:spacing w:lineRule="exact" w:line="240"/>
        <w:ind w:left="738" w:hanging="738"/>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（注４）主たる業種及び申請者全体の原油等の仕入価格、売上高を記載。Ｐ＞０となっていること。</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①　本認定とは別に、金融機関及び信用保証協会による金融上の審査があります。</w:t>
      </w:r>
    </w:p>
    <w:p>
      <w:pPr>
        <w:pStyle w:val="Normal"/>
        <w:widowControl/>
        <w:spacing w:lineRule="exact" w:line="300"/>
        <w:ind w:left="540" w:hanging="540"/>
        <w:jc w:val="left"/>
        <w:rPr/>
      </w:pPr>
      <w:r>
        <mc:AlternateContent>
          <mc:Choice Requires="wps">
            <w:drawing>
              <wp:anchor behindDoc="0" distT="0" distB="0" distL="114300" distR="114300" simplePos="0" locked="0" layoutInCell="1" allowOverlap="1" relativeHeight="2">
                <wp:simplePos x="0" y="0"/>
                <wp:positionH relativeFrom="column">
                  <wp:posOffset>-34925</wp:posOffset>
                </wp:positionH>
                <wp:positionV relativeFrom="paragraph">
                  <wp:posOffset>491490</wp:posOffset>
                </wp:positionV>
                <wp:extent cx="6283960" cy="1619885"/>
                <wp:effectExtent l="0" t="0" r="3810" b="1270"/>
                <wp:wrapNone/>
                <wp:docPr id="1" name="Rectangle 3"/>
                <a:graphic xmlns:a="http://schemas.openxmlformats.org/drawingml/2006/main">
                  <a:graphicData uri="http://schemas.microsoft.com/office/word/2010/wordprocessingShape">
                    <wps:wsp>
                      <wps:cNvSpPr/>
                      <wps:spPr>
                        <a:xfrm>
                          <a:off x="0" y="0"/>
                          <a:ext cx="6283440" cy="1619280"/>
                        </a:xfrm>
                        <a:prstGeom prst="rect">
                          <a:avLst/>
                        </a:prstGeom>
                        <a:solidFill>
                          <a:srgbClr val="ffffff"/>
                        </a:solidFill>
                        <a:ln>
                          <a:noFill/>
                        </a:ln>
                      </wps:spPr>
                      <wps:style>
                        <a:lnRef idx="0"/>
                        <a:fillRef idx="0"/>
                        <a:effectRef idx="0"/>
                        <a:fontRef idx="minor"/>
                      </wps:style>
                      <wps:txbx>
                        <w:txbxContent>
                          <w:p>
                            <w:pPr>
                              <w:pStyle w:val="Style28"/>
                              <w:rPr/>
                            </w:pPr>
                            <w:r>
                              <w:rPr/>
                              <w:t>　産第　　　　　　号</w:t>
                            </w:r>
                          </w:p>
                          <w:p>
                            <w:pPr>
                              <w:pStyle w:val="Style28"/>
                              <w:rPr/>
                            </w:pPr>
                            <w:r>
                              <w:rPr/>
                              <w:t>　</w:t>
                            </w:r>
                            <w:r>
                              <w:rPr>
                                <w:rFonts w:ascii="ＭＳ ゴシック" w:hAnsi="ＭＳ ゴシック" w:cs="ＭＳ ゴシック" w:eastAsia="ＭＳ ゴシック"/>
                                <w:color w:val="000000"/>
                                <w:kern w:val="0"/>
                                <w:szCs w:val="21"/>
                              </w:rPr>
                              <w:t>　　</w:t>
                            </w:r>
                            <w:r>
                              <w:rPr/>
                              <w:t>　　年　　月　　日</w:t>
                            </w:r>
                          </w:p>
                          <w:p>
                            <w:pPr>
                              <w:pStyle w:val="Style28"/>
                              <w:rPr/>
                            </w:pPr>
                            <w:r>
                              <w:rPr/>
                              <w:t>　申請のとおり、相違ないことを認定します。</w:t>
                            </w:r>
                          </w:p>
                          <w:p>
                            <w:pPr>
                              <w:pStyle w:val="Style28"/>
                              <w:rPr/>
                            </w:pPr>
                            <w:r>
                              <w:rPr/>
                              <w:t>　（注）本認定書の有効期間：</w:t>
                            </w:r>
                            <w:r>
                              <w:rPr>
                                <w:rFonts w:ascii="ＭＳ ゴシック" w:hAnsi="ＭＳ ゴシック" w:cs="ＭＳ ゴシック" w:eastAsia="ＭＳ ゴシック"/>
                                <w:color w:val="000000"/>
                                <w:kern w:val="0"/>
                                <w:szCs w:val="21"/>
                              </w:rPr>
                              <w:t>　　</w:t>
                            </w:r>
                            <w:r>
                              <w:rPr/>
                              <w:t>　　年　　月　　日から</w:t>
                            </w:r>
                            <w:r>
                              <w:rPr>
                                <w:rFonts w:ascii="ＭＳ ゴシック" w:hAnsi="ＭＳ ゴシック" w:cs="ＭＳ ゴシック" w:eastAsia="ＭＳ ゴシック"/>
                                <w:color w:val="000000"/>
                                <w:kern w:val="0"/>
                                <w:szCs w:val="21"/>
                              </w:rPr>
                              <w:t>　　</w:t>
                            </w:r>
                            <w:bookmarkStart w:id="0" w:name="_GoBack"/>
                            <w:bookmarkEnd w:id="0"/>
                            <w:r>
                              <w:rPr/>
                              <w:t>　　年　　月　　日まで</w:t>
                            </w:r>
                          </w:p>
                          <w:p>
                            <w:pPr>
                              <w:pStyle w:val="Style28"/>
                              <w:spacing w:lineRule="auto" w:line="360"/>
                              <w:rPr/>
                            </w:pPr>
                            <w:r>
                              <w:rPr/>
                              <w:t>　</w:t>
                            </w:r>
                          </w:p>
                          <w:p>
                            <w:pPr>
                              <w:pStyle w:val="Style28"/>
                              <w:rPr/>
                            </w:pPr>
                            <w:r>
                              <w:rPr/>
                              <w:t>　　　　　　　　　　　　　　　　　　　　　　　　　遊佐町</w:t>
                            </w:r>
                            <w:r>
                              <w:rPr>
                                <w:kern w:val="0"/>
                              </w:rPr>
                              <w:t>長　時田　博機</w:t>
                            </w:r>
                          </w:p>
                        </w:txbxContent>
                      </wps:txbx>
                      <wps:bodyPr lIns="74160" rIns="74160" tIns="9000" bIns="9000">
                        <a:noAutofit/>
                      </wps:bodyPr>
                    </wps:wsp>
                  </a:graphicData>
                </a:graphic>
              </wp:anchor>
            </w:drawing>
          </mc:Choice>
          <mc:Fallback>
            <w:pict>
              <v:rect id="shape_0" ID="Rectangle 3" fillcolor="white" stroked="f" style="position:absolute;margin-left:-2.75pt;margin-top:38.7pt;width:494.7pt;height:127.45pt">
                <w10:wrap type="square"/>
                <v:fill o:detectmouseclick="t" type="solid" color2="black"/>
                <v:stroke color="#3465a4" joinstyle="round" endcap="flat"/>
                <v:textbox>
                  <w:txbxContent>
                    <w:p>
                      <w:pPr>
                        <w:pStyle w:val="Style28"/>
                        <w:rPr/>
                      </w:pPr>
                      <w:r>
                        <w:rPr/>
                        <w:t>　産第　　　　　　号</w:t>
                      </w:r>
                    </w:p>
                    <w:p>
                      <w:pPr>
                        <w:pStyle w:val="Style28"/>
                        <w:rPr/>
                      </w:pPr>
                      <w:r>
                        <w:rPr/>
                        <w:t>　</w:t>
                      </w:r>
                      <w:r>
                        <w:rPr>
                          <w:rFonts w:ascii="ＭＳ ゴシック" w:hAnsi="ＭＳ ゴシック" w:cs="ＭＳ ゴシック" w:eastAsia="ＭＳ ゴシック"/>
                          <w:color w:val="000000"/>
                          <w:kern w:val="0"/>
                          <w:szCs w:val="21"/>
                        </w:rPr>
                        <w:t>　　</w:t>
                      </w:r>
                      <w:r>
                        <w:rPr/>
                        <w:t>　　年　　月　　日</w:t>
                      </w:r>
                    </w:p>
                    <w:p>
                      <w:pPr>
                        <w:pStyle w:val="Style28"/>
                        <w:rPr/>
                      </w:pPr>
                      <w:r>
                        <w:rPr/>
                        <w:t>　申請のとおり、相違ないことを認定します。</w:t>
                      </w:r>
                    </w:p>
                    <w:p>
                      <w:pPr>
                        <w:pStyle w:val="Style28"/>
                        <w:rPr/>
                      </w:pPr>
                      <w:r>
                        <w:rPr/>
                        <w:t>　（注）本認定書の有効期間：</w:t>
                      </w:r>
                      <w:r>
                        <w:rPr>
                          <w:rFonts w:ascii="ＭＳ ゴシック" w:hAnsi="ＭＳ ゴシック" w:cs="ＭＳ ゴシック" w:eastAsia="ＭＳ ゴシック"/>
                          <w:color w:val="000000"/>
                          <w:kern w:val="0"/>
                          <w:szCs w:val="21"/>
                        </w:rPr>
                        <w:t>　　</w:t>
                      </w:r>
                      <w:r>
                        <w:rPr/>
                        <w:t>　　年　　月　　日から</w:t>
                      </w:r>
                      <w:r>
                        <w:rPr>
                          <w:rFonts w:ascii="ＭＳ ゴシック" w:hAnsi="ＭＳ ゴシック" w:cs="ＭＳ ゴシック" w:eastAsia="ＭＳ ゴシック"/>
                          <w:color w:val="000000"/>
                          <w:kern w:val="0"/>
                          <w:szCs w:val="21"/>
                        </w:rPr>
                        <w:t>　　</w:t>
                      </w:r>
                      <w:bookmarkStart w:id="1" w:name="_GoBack"/>
                      <w:bookmarkEnd w:id="1"/>
                      <w:r>
                        <w:rPr/>
                        <w:t>　　年　　月　　日まで</w:t>
                      </w:r>
                    </w:p>
                    <w:p>
                      <w:pPr>
                        <w:pStyle w:val="Style28"/>
                        <w:spacing w:lineRule="auto" w:line="360"/>
                        <w:rPr/>
                      </w:pPr>
                      <w:r>
                        <w:rPr/>
                        <w:t>　</w:t>
                      </w:r>
                    </w:p>
                    <w:p>
                      <w:pPr>
                        <w:pStyle w:val="Style28"/>
                        <w:rPr/>
                      </w:pPr>
                      <w:r>
                        <w:rPr/>
                        <w:t>　　　　　　　　　　　　　　　　　　　　　　　　　遊佐町</w:t>
                      </w:r>
                      <w:r>
                        <w:rPr>
                          <w:kern w:val="0"/>
                        </w:rPr>
                        <w:t>長　時田　博機</w:t>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22225</wp:posOffset>
                </wp:positionH>
                <wp:positionV relativeFrom="paragraph">
                  <wp:posOffset>439420</wp:posOffset>
                </wp:positionV>
                <wp:extent cx="6226810" cy="1270"/>
                <wp:effectExtent l="8890" t="13335" r="13335" b="15240"/>
                <wp:wrapNone/>
                <wp:docPr id="3" name="AutoShape 4"/>
                <a:graphic xmlns:a="http://schemas.openxmlformats.org/drawingml/2006/main">
                  <a:graphicData uri="http://schemas.microsoft.com/office/word/2010/wordprocessingShape">
                    <wps:wsp>
                      <wps:cNvSpPr/>
                      <wps:spPr>
                        <a:xfrm>
                          <a:off x="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4" stroked="t" style="position:absolute;margin-left:1.75pt;margin-top:34.6pt;width:490.2pt;height:0pt" type="shapetype_32">
                <w10:wrap type="none"/>
                <v:fill o:detectmouseclick="t" on="false"/>
                <v:stroke color="black" weight="12600" dashstyle="dash" joinstyle="round" endcap="round"/>
              </v:shape>
            </w:pict>
          </mc:Fallback>
        </mc:AlternateContent>
      </w:r>
      <w:r>
        <w:rPr>
          <w:rFonts w:ascii="ＭＳ ゴシック" w:hAnsi="ＭＳ ゴシック" w:cs="ＭＳ ゴシック" w:eastAsia="ＭＳ ゴシック"/>
          <w:color w:val="000000"/>
          <w:kern w:val="0"/>
          <w:szCs w:val="21"/>
        </w:rPr>
        <w:t>　②　市町村長又は特別区長から認定を受けた後、本認定の有効期間内に金融機関又は信用保証協会に対して、経営安定関連保証の申込みを行うことが必要です。</w:t>
      </w:r>
    </w:p>
    <w:sectPr>
      <w:footerReference w:type="default" r:id="rId2"/>
      <w:type w:val="nextPage"/>
      <w:pgSz w:w="11906" w:h="16838"/>
      <w:pgMar w:left="1134" w:right="1134" w:header="0" w:top="567" w:footer="284"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3568068"/>
    </w:sdtPr>
    <w:sdtContent>
      <w:p>
        <w:pPr>
          <w:pStyle w:val="Style27"/>
          <w:jc w:val="center"/>
          <w:rPr/>
        </w:pPr>
        <w:r>
          <w:rPr>
            <w:lang w:val="ja-JP"/>
          </w:rPr>
          <w:fldChar w:fldCharType="begin"/>
        </w:r>
        <w:r>
          <w:instrText> PAGE </w:instrText>
        </w:r>
        <w:r>
          <w:fldChar w:fldCharType="separate"/>
        </w:r>
        <w:r>
          <w:t>1</w:t>
        </w:r>
        <w:r>
          <w:fldChar w:fldCharType="end"/>
        </w:r>
      </w:p>
    </w:sdtContent>
  </w:sdt>
  <w:p>
    <w:pPr>
      <w:pStyle w:val="Style27"/>
      <w:rPr/>
    </w:pPr>
    <w:r>
      <w:rPr/>
    </w:r>
  </w:p>
</w:ft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1451-D58F-411F-8CAE-42951D73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1</Pages>
  <Words>1149</Words>
  <Characters>1157</Characters>
  <CharactersWithSpaces>1971</CharactersWithSpaces>
  <Paragraphs>48</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2019-04-04T07:20:00Z</dcterms:created>
  <dc:creator>情報システム厚生課２</dc:creator>
  <dc:description/>
  <dc:language>ja-JP</dc:language>
  <cp:lastModifiedBy/>
  <cp:lastPrinted>2012-10-25T05:28:00Z</cp:lastPrinted>
  <dcterms:modified xsi:type="dcterms:W3CDTF">2020-03-09T13:38:03Z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