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100"/>
        <w:jc w:val="right"/>
        <w:rPr>
          <w:rFonts w:ascii="ＭＳ ゴシック" w:hAnsi="ＭＳ ゴシック" w:eastAsia="ＭＳ ゴシック"/>
          <w:sz w:val="24"/>
        </w:rPr>
      </w:pPr>
      <w:r>
        <w:rPr>
          <w:rFonts w:eastAsia="ＭＳ ゴシック" w:ascii="ＭＳ ゴシック" w:hAnsi="ＭＳ ゴシック"/>
          <w:sz w:val="24"/>
        </w:rPr>
      </w:r>
    </w:p>
    <w:tbl>
      <w:tblPr>
        <w:tblW w:w="1003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343"/>
        <w:gridCol w:w="3344"/>
        <w:gridCol w:w="3344"/>
      </w:tblGrid>
      <w:tr>
        <w:trPr>
          <w:trHeight w:val="400" w:hRule="atLeast"/>
        </w:trPr>
        <w:tc>
          <w:tcPr>
            <w:tcW w:w="10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center"/>
              <w:rPr>
                <w:rFonts w:ascii="ＭＳ ゴシック" w:hAnsi="ＭＳ ゴシック"/>
              </w:rPr>
            </w:pPr>
            <w:r>
              <w:rPr>
                <w:rFonts w:ascii="ＭＳ ゴシック" w:hAnsi="ＭＳ ゴシック" w:eastAsia="ＭＳ ゴシック" w:asciiTheme="majorEastAsia" w:eastAsiaTheme="majorEastAsia" w:hAnsiTheme="majorEastAsia"/>
              </w:rPr>
              <w:t>認定権者記載欄</w:t>
            </w:r>
          </w:p>
        </w:tc>
      </w:tr>
      <w:tr>
        <w:trPr>
          <w:trHeight w:val="238" w:hRule="atLeast"/>
        </w:trPr>
        <w:tc>
          <w:tcPr>
            <w:tcW w:w="3343"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8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2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r>
        <w:trPr>
          <w:trHeight w:val="273" w:hRule="atLeast"/>
        </w:trPr>
        <w:tc>
          <w:tcPr>
            <w:tcW w:w="3343" w:type="dxa"/>
            <w:tcBorders>
              <w:top w:val="single" w:sz="2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様式第５－（ロ）－①</w:t>
      </w:r>
    </w:p>
    <w:tbl>
      <w:tblPr>
        <w:tblW w:w="10035"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Look w:firstRow="0" w:noVBand="0" w:lastRow="0" w:firstColumn="0" w:lastColumn="0" w:noHBand="0" w:val="0000"/>
      </w:tblPr>
      <w:tblGrid>
        <w:gridCol w:w="10035"/>
      </w:tblGrid>
      <w:tr>
        <w:trPr/>
        <w:tc>
          <w:tcPr>
            <w:tcW w:w="100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exact" w:line="6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exact" w:line="240"/>
              <w:jc w:val="center"/>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中小企業信用保険法第２条第５項第５号の規定による認定申請書（ロ－①）</w:t>
            </w:r>
          </w:p>
          <w:p>
            <w:pPr>
              <w:pStyle w:val="Normal"/>
              <w:suppressAutoHyphens w:val="true"/>
              <w:overflowPunct w:val="true"/>
              <w:spacing w:lineRule="exact" w:line="6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exact" w:line="240"/>
              <w:ind w:right="695" w:hanging="0"/>
              <w:jc w:val="righ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年　　月　　日</w:t>
            </w:r>
          </w:p>
          <w:p>
            <w:pPr>
              <w:pStyle w:val="Normal"/>
              <w:suppressAutoHyphens w:val="true"/>
              <w:overflowPunct w:val="true"/>
              <w:spacing w:lineRule="exact" w:line="6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rPr>
              <w:t>遊佐町</w:t>
            </w:r>
            <w:r>
              <w:rPr>
                <w:rFonts w:ascii="ＭＳ ゴシック" w:hAnsi="ＭＳ ゴシック" w:cs="ＭＳ ゴシック" w:eastAsia="ＭＳ ゴシック"/>
                <w:color w:val="000000"/>
                <w:kern w:val="0"/>
                <w:szCs w:val="21"/>
              </w:rPr>
              <w:t>長　　殿</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exact" w:line="240"/>
              <w:ind w:right="876" w:hanging="0"/>
              <w:jc w:val="left"/>
              <w:textAlignment w:val="baseline"/>
              <w:rPr>
                <w:rFonts w:ascii="ＭＳ ゴシック" w:hAnsi="ＭＳ ゴシック" w:eastAsia="ＭＳ ゴシック" w:cs="ＭＳ ゴシック"/>
                <w:color w:val="000000"/>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申請者　</w:t>
            </w:r>
            <w:r>
              <w:rPr>
                <w:rFonts w:ascii="ＭＳ ゴシック" w:hAnsi="ＭＳ ゴシック" w:cs="ＭＳ ゴシック" w:eastAsia="ＭＳ ゴシック"/>
                <w:color w:val="000000"/>
                <w:kern w:val="0"/>
                <w:szCs w:val="21"/>
                <w:u w:val="single" w:color="000000"/>
              </w:rPr>
              <w:t>住　所　　　　　　　　　 　　　　　</w:t>
            </w:r>
          </w:p>
          <w:p>
            <w:pPr>
              <w:pStyle w:val="Normal"/>
              <w:suppressAutoHyphens w:val="true"/>
              <w:overflowPunct w:val="true"/>
              <w:spacing w:lineRule="exact" w:line="240"/>
              <w:ind w:right="876" w:hanging="0"/>
              <w:jc w:val="left"/>
              <w:textAlignment w:val="baseline"/>
              <w:rPr>
                <w:rFonts w:ascii="ＭＳ ゴシック" w:hAnsi="ＭＳ ゴシック" w:eastAsia="ＭＳ ゴシック" w:cs="ＭＳ ゴシック"/>
                <w:color w:val="000000"/>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u w:val="single" w:color="000000"/>
              </w:rPr>
              <w:t>氏　名　　　　　　　　　　　　　 印</w:t>
            </w:r>
          </w:p>
          <w:p>
            <w:pPr>
              <w:pStyle w:val="Normal"/>
              <w:suppressAutoHyphens w:val="true"/>
              <w:overflowPunct w:val="true"/>
              <w:spacing w:lineRule="exact" w:line="18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exact" w:line="240"/>
              <w:ind w:right="487" w:hanging="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Normal"/>
              <w:suppressAutoHyphens w:val="true"/>
              <w:overflowPunct w:val="true"/>
              <w:spacing w:lineRule="exact" w:line="12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Closing"/>
              <w:jc w:val="left"/>
              <w:rPr/>
            </w:pPr>
            <w:r>
              <w:rPr/>
              <w:t>（表</w:t>
            </w:r>
            <w:r>
              <w:rPr/>
              <w:t>)</w:t>
            </w:r>
          </w:p>
          <w:tbl>
            <w:tblPr>
              <w:tblW w:w="9793" w:type="dxa"/>
              <w:jc w:val="left"/>
              <w:tblInd w:w="0" w:type="dxa"/>
              <w:tbl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blBorders>
              <w:tblCellMar>
                <w:top w:w="0" w:type="dxa"/>
                <w:left w:w="78" w:type="dxa"/>
                <w:bottom w:w="0" w:type="dxa"/>
                <w:right w:w="108" w:type="dxa"/>
              </w:tblCellMar>
              <w:tblLook w:firstRow="1" w:noVBand="1" w:lastRow="0" w:firstColumn="1" w:lastColumn="0" w:noHBand="0" w:val="04a0"/>
            </w:tblPr>
            <w:tblGrid>
              <w:gridCol w:w="3264"/>
              <w:gridCol w:w="3264"/>
              <w:gridCol w:w="3265"/>
            </w:tblGrid>
            <w:tr>
              <w:trPr>
                <w:trHeight w:val="366" w:hRule="atLeast"/>
              </w:trPr>
              <w:tc>
                <w:tcPr>
                  <w:tcW w:w="3264"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78" w:type="dxa"/>
                  </w:tcMar>
                </w:tcPr>
                <w:p>
                  <w:pPr>
                    <w:pStyle w:val="Normal"/>
                    <w:suppressAutoHyphens w:val="true"/>
                    <w:overflowPunct w:val="true"/>
                    <w:spacing w:lineRule="atLeast" w:line="274"/>
                    <w:jc w:val="center"/>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c>
                <w:tcPr>
                  <w:tcW w:w="3264" w:type="dxa"/>
                  <w:tcBorders>
                    <w:top w:val="single" w:sz="4" w:space="0" w:color="00000A"/>
                    <w:left w:val="single" w:sz="2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c>
                <w:tcPr>
                  <w:tcW w:w="3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r>
            <w:tr>
              <w:trPr>
                <w:trHeight w:val="381" w:hRule="atLeast"/>
              </w:trPr>
              <w:tc>
                <w:tcPr>
                  <w:tcW w:w="3264" w:type="dxa"/>
                  <w:tcBorders>
                    <w:top w:val="single" w:sz="2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c>
                <w:tcPr>
                  <w:tcW w:w="3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c>
                <w:tcPr>
                  <w:tcW w:w="3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r>
          </w:tbl>
          <w:p>
            <w:pPr>
              <w:pStyle w:val="Normal"/>
              <w:suppressAutoHyphens w:val="true"/>
              <w:overflowPunct w:val="true"/>
              <w:spacing w:lineRule="exact" w:line="240"/>
              <w:ind w:firstLine="2"/>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w:t>
            </w:r>
            <w:r>
              <w:rPr>
                <w:rFonts w:ascii="ＭＳ ゴシック" w:hAnsi="ＭＳ ゴシック" w:eastAsia="ＭＳ ゴシック"/>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Normal"/>
              <w:suppressAutoHyphens w:val="true"/>
              <w:overflowPunct w:val="true"/>
              <w:spacing w:lineRule="exact" w:line="12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exact" w:line="240"/>
              <w:jc w:val="center"/>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記</w:t>
            </w:r>
          </w:p>
          <w:p>
            <w:pPr>
              <w:pStyle w:val="Normal"/>
              <w:suppressAutoHyphens w:val="true"/>
              <w:overflowPunct w:val="true"/>
              <w:spacing w:lineRule="exact" w:line="12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①</w:t>
            </w:r>
            <w:r>
              <w:rPr>
                <w:rFonts w:ascii="ＭＳ ゴシック" w:hAnsi="ＭＳ ゴシック" w:cs="ＭＳ ゴシック" w:eastAsia="ＭＳ ゴシック"/>
                <w:color w:val="000000"/>
                <w:kern w:val="0"/>
                <w:szCs w:val="21"/>
              </w:rPr>
              <w:t>原油等の仕入単価の上昇（注２）</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u w:val="single" w:color="000000"/>
              </w:rPr>
              <w:t xml:space="preserve"> </w:t>
            </w:r>
            <w:r>
              <w:rPr>
                <w:rFonts w:ascii="ＭＳ ゴシック" w:hAnsi="ＭＳ ゴシック" w:cs="ＭＳ ゴシック" w:eastAsia="ＭＳ ゴシック"/>
                <w:color w:val="000000"/>
                <w:kern w:val="0"/>
                <w:szCs w:val="21"/>
                <w:u w:val="single" w:color="000000"/>
              </w:rPr>
              <w:t xml:space="preserve">Ｅ </w:t>
            </w:r>
            <w:r>
              <w:rPr>
                <w:rFonts w:ascii="ＭＳ ゴシック" w:hAnsi="ＭＳ ゴシック" w:cs="ＭＳ ゴシック" w:eastAsia="ＭＳ ゴシック"/>
                <w:color w:val="000000"/>
                <w:kern w:val="0"/>
                <w:szCs w:val="21"/>
              </w:rPr>
              <w:t xml:space="preserve">　　　 </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ｅ  </w:t>
            </w:r>
            <w:r>
              <w:rPr>
                <w:rFonts w:eastAsia="ＭＳ ゴシック" w:cs="ＭＳ ゴシック" w:ascii="ＭＳ ゴシック" w:hAnsi="ＭＳ ゴシック"/>
                <w:color w:val="000000"/>
                <w:kern w:val="0"/>
                <w:szCs w:val="21"/>
              </w:rPr>
              <w:t>×100</w:t>
            </w:r>
            <w:r>
              <w:rPr>
                <w:rFonts w:ascii="ＭＳ ゴシック" w:hAnsi="ＭＳ ゴシック" w:cs="ＭＳ ゴシック" w:eastAsia="ＭＳ ゴシック"/>
                <w:color w:val="000000"/>
                <w:kern w:val="0"/>
                <w:szCs w:val="21"/>
              </w:rPr>
              <w:t>－</w:t>
            </w:r>
            <w:r>
              <w:rPr>
                <w:rFonts w:eastAsia="ＭＳ ゴシック" w:cs="ＭＳ ゴシック" w:ascii="ＭＳ ゴシック" w:hAnsi="ＭＳ ゴシック"/>
                <w:color w:val="000000"/>
                <w:kern w:val="0"/>
                <w:szCs w:val="21"/>
              </w:rPr>
              <w:t>100</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u w:val="single" w:color="000000"/>
              </w:rPr>
              <w:t>上昇率　　　　　　　　％</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Ｅ：原油等の最近１か月間における平均仕入れ単価</w:t>
            </w:r>
            <w:r>
              <w:rPr>
                <w:rFonts w:ascii="ＭＳ ゴシック" w:hAnsi="ＭＳ ゴシック" w:eastAsia="ＭＳ ゴシック"/>
                <w:color w:val="000000"/>
                <w:spacing w:val="16"/>
                <w:kern w:val="0"/>
                <w:szCs w:val="21"/>
              </w:rPr>
              <w:t>　　　</w:t>
            </w:r>
            <w:r>
              <w:rPr>
                <w:rFonts w:ascii="ＭＳ ゴシック" w:hAnsi="ＭＳ ゴシック" w:cs="ＭＳ ゴシック" w:eastAsia="ＭＳ ゴシック"/>
                <w:color w:val="000000"/>
                <w:kern w:val="0"/>
                <w:szCs w:val="21"/>
                <w:u w:val="single" w:color="000000"/>
              </w:rPr>
              <w:t>　　　　　　　　　　　円（注４）</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ｅ：Ｅの期間に対応する前年１か月間の平均仕入れ単価</w:t>
            </w:r>
            <w:r>
              <w:rPr>
                <w:rFonts w:ascii="ＭＳ ゴシック" w:hAnsi="ＭＳ ゴシック" w:eastAsia="ＭＳ ゴシック"/>
                <w:color w:val="000000"/>
                <w:spacing w:val="16"/>
                <w:kern w:val="0"/>
                <w:szCs w:val="21"/>
              </w:rPr>
              <w:t xml:space="preserve">　 </w:t>
            </w:r>
            <w:r>
              <w:rPr>
                <w:rFonts w:ascii="ＭＳ ゴシック" w:hAnsi="ＭＳ ゴシック" w:cs="ＭＳ ゴシック" w:eastAsia="ＭＳ ゴシック"/>
                <w:color w:val="000000"/>
                <w:kern w:val="0"/>
                <w:szCs w:val="21"/>
                <w:u w:val="single" w:color="000000"/>
              </w:rPr>
              <w:t xml:space="preserve">                      円（注４）</w:t>
            </w:r>
          </w:p>
          <w:p>
            <w:pPr>
              <w:pStyle w:val="Normal"/>
              <w:suppressAutoHyphens w:val="true"/>
              <w:overflowPunct w:val="true"/>
              <w:spacing w:lineRule="exact" w:line="6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②</w:t>
            </w:r>
            <w:r>
              <w:rPr>
                <w:rFonts w:ascii="ＭＳ ゴシック" w:hAnsi="ＭＳ ゴシック" w:cs="ＭＳ ゴシック" w:eastAsia="ＭＳ ゴシック"/>
                <w:color w:val="000000"/>
                <w:kern w:val="0"/>
                <w:szCs w:val="21"/>
              </w:rPr>
              <w:t>原油等が売上原価に占める割合（注２）</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u w:val="single" w:color="000000"/>
              </w:rPr>
              <w:t xml:space="preserve"> Ｓ </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xml:space="preserve">Ｃ   </w:t>
            </w:r>
            <w:r>
              <w:rPr>
                <w:rFonts w:eastAsia="ＭＳ ゴシック" w:cs="ＭＳ ゴシック" w:ascii="ＭＳ ゴシック" w:hAnsi="ＭＳ ゴシック"/>
                <w:color w:val="000000"/>
                <w:kern w:val="0"/>
                <w:szCs w:val="21"/>
              </w:rPr>
              <w:t xml:space="preserve">×100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u w:val="single" w:color="000000"/>
              </w:rPr>
              <w:t>依存率　　　　　 　　％</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Ｃ：申込時点における最新の売上原価</w:t>
            </w:r>
            <w:r>
              <w:rPr>
                <w:rFonts w:ascii="ＭＳ ゴシック" w:hAnsi="ＭＳ ゴシック" w:eastAsia="ＭＳ ゴシック"/>
                <w:color w:val="000000"/>
                <w:spacing w:val="16"/>
                <w:kern w:val="0"/>
                <w:szCs w:val="21"/>
              </w:rPr>
              <w:t xml:space="preserve">              </w:t>
            </w:r>
            <w:r>
              <w:rPr>
                <w:rFonts w:ascii="ＭＳ ゴシック" w:hAnsi="ＭＳ ゴシック" w:cs="ＭＳ ゴシック" w:eastAsia="ＭＳ ゴシック"/>
                <w:color w:val="000000"/>
                <w:kern w:val="0"/>
                <w:szCs w:val="21"/>
                <w:u w:val="single" w:color="000000"/>
              </w:rPr>
              <w:t>　　　　　 　　　　　円（注４）</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Ｓ：Ｃの売上原価に対応する原油等の仕入価格</w:t>
            </w:r>
            <w:r>
              <w:rPr>
                <w:rFonts w:ascii="ＭＳ ゴシック" w:hAnsi="ＭＳ ゴシック" w:eastAsia="ＭＳ ゴシック"/>
                <w:color w:val="000000"/>
                <w:spacing w:val="16"/>
                <w:kern w:val="0"/>
                <w:szCs w:val="21"/>
              </w:rPr>
              <w:t xml:space="preserve">        </w:t>
            </w:r>
            <w:r>
              <w:rPr>
                <w:rFonts w:ascii="ＭＳ ゴシック" w:hAnsi="ＭＳ ゴシック" w:cs="ＭＳ ゴシック" w:eastAsia="ＭＳ ゴシック"/>
                <w:color w:val="000000"/>
                <w:kern w:val="0"/>
                <w:szCs w:val="21"/>
                <w:u w:val="single" w:color="000000"/>
              </w:rPr>
              <w:t>　　　 　　　　　　　円（注４）</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③</w:t>
            </w:r>
            <w:r>
              <w:rPr>
                <w:rFonts w:ascii="ＭＳ ゴシック" w:hAnsi="ＭＳ ゴシック" w:cs="ＭＳ ゴシック" w:eastAsia="ＭＳ ゴシック"/>
                <w:color w:val="000000"/>
                <w:kern w:val="0"/>
                <w:szCs w:val="21"/>
              </w:rPr>
              <w:t>製品等価格への転嫁の状況（注３）</w:t>
            </w:r>
          </w:p>
          <w:p>
            <w:pPr>
              <w:pStyle w:val="Normal"/>
              <w:suppressAutoHyphens w:val="true"/>
              <w:overflowPunct w:val="true"/>
              <w:spacing w:lineRule="exact" w:line="230"/>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u w:val="single" w:color="000000"/>
              </w:rPr>
              <w:t xml:space="preserve"> </w:t>
            </w:r>
            <w:r>
              <w:rPr>
                <w:rFonts w:ascii="ＭＳ ゴシック" w:hAnsi="ＭＳ ゴシック" w:cs="ＭＳ ゴシック" w:eastAsia="ＭＳ ゴシック"/>
                <w:color w:val="000000"/>
                <w:kern w:val="0"/>
                <w:szCs w:val="21"/>
                <w:u w:val="single" w:color="000000"/>
              </w:rPr>
              <w:t xml:space="preserve">Ａ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u w:val="single" w:color="000000"/>
              </w:rPr>
              <w:t xml:space="preserve">  </w:t>
            </w: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u w:val="single" w:color="000000"/>
              </w:rPr>
              <w:t xml:space="preserve"> ａ </w:t>
            </w:r>
            <w:r>
              <w:rPr>
                <w:rFonts w:ascii="ＭＳ ゴシック" w:hAnsi="ＭＳ ゴシック" w:cs="ＭＳ ゴシック" w:eastAsia="ＭＳ ゴシック"/>
                <w:color w:val="000000"/>
                <w:kern w:val="0"/>
                <w:szCs w:val="21"/>
              </w:rPr>
              <w:t>　　　　　　</w:t>
            </w:r>
          </w:p>
          <w:p>
            <w:pPr>
              <w:pStyle w:val="Normal"/>
              <w:suppressAutoHyphens w:val="true"/>
              <w:overflowPunct w:val="true"/>
              <w:spacing w:lineRule="exact" w:line="230"/>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Ｂ　　    ｂ  　＝Ｐ   　　　　　　     　　</w:t>
            </w:r>
            <w:r>
              <w:rPr>
                <w:rFonts w:ascii="ＭＳ ゴシック" w:hAnsi="ＭＳ ゴシック" w:cs="ＭＳ ゴシック" w:eastAsia="ＭＳ ゴシック"/>
                <w:color w:val="000000"/>
                <w:kern w:val="0"/>
                <w:szCs w:val="21"/>
                <w:u w:val="single" w:color="000000"/>
              </w:rPr>
              <w:t xml:space="preserve"> Ｐ＝ 　　　 　　　　　</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Ａ：申込時点における最近３か月間の原油等の仕入価格</w:t>
            </w:r>
            <w:r>
              <w:rPr>
                <w:rFonts w:ascii="ＭＳ ゴシック" w:hAnsi="ＭＳ ゴシック" w:eastAsia="ＭＳ ゴシック"/>
                <w:color w:val="000000"/>
                <w:spacing w:val="16"/>
                <w:kern w:val="0"/>
                <w:szCs w:val="21"/>
              </w:rPr>
              <w:t xml:space="preserve">  </w:t>
            </w:r>
            <w:r>
              <w:rPr>
                <w:rFonts w:ascii="ＭＳ ゴシック" w:hAnsi="ＭＳ ゴシック" w:cs="ＭＳ ゴシック" w:eastAsia="ＭＳ ゴシック"/>
                <w:color w:val="000000"/>
                <w:kern w:val="0"/>
                <w:szCs w:val="21"/>
                <w:u w:val="single" w:color="000000"/>
              </w:rPr>
              <w:t>　　　　　   　　　　円（注４）</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ａ：Ａの期間に対応する前年３か月間の原油等の仕入価格</w:t>
            </w:r>
            <w:r>
              <w:rPr>
                <w:rFonts w:ascii="ＭＳ ゴシック" w:hAnsi="ＭＳ ゴシック" w:eastAsia="ＭＳ ゴシック"/>
                <w:color w:val="000000"/>
                <w:spacing w:val="16"/>
                <w:kern w:val="0"/>
                <w:szCs w:val="21"/>
              </w:rPr>
              <w:t xml:space="preserve"> </w:t>
            </w:r>
            <w:r>
              <w:rPr>
                <w:rFonts w:ascii="ＭＳ ゴシック" w:hAnsi="ＭＳ ゴシック" w:cs="ＭＳ ゴシック" w:eastAsia="ＭＳ ゴシック"/>
                <w:color w:val="000000"/>
                <w:kern w:val="0"/>
                <w:szCs w:val="21"/>
                <w:u w:val="single" w:color="000000"/>
              </w:rPr>
              <w:t>　　　　　　   　　　円（注４）</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Ｂ：申込時点における最近３か月間の売上高</w:t>
            </w:r>
            <w:r>
              <w:rPr>
                <w:rFonts w:ascii="ＭＳ ゴシック" w:hAnsi="ＭＳ ゴシック" w:eastAsia="ＭＳ ゴシック"/>
                <w:color w:val="000000"/>
                <w:spacing w:val="16"/>
                <w:kern w:val="0"/>
                <w:szCs w:val="21"/>
              </w:rPr>
              <w:t xml:space="preserve">          </w:t>
            </w:r>
            <w:r>
              <w:rPr>
                <w:rFonts w:ascii="ＭＳ ゴシック" w:hAnsi="ＭＳ ゴシック" w:cs="ＭＳ ゴシック" w:eastAsia="ＭＳ ゴシック"/>
                <w:color w:val="000000"/>
                <w:kern w:val="0"/>
                <w:szCs w:val="21"/>
                <w:u w:val="single" w:color="000000"/>
              </w:rPr>
              <w:t>　 　　　　　　   　 円（注４）</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ｂ：Ｂの期間に対応する前年３か月間の売上高</w:t>
            </w:r>
            <w:r>
              <w:rPr>
                <w:rFonts w:ascii="ＭＳ ゴシック" w:hAnsi="ＭＳ ゴシック" w:eastAsia="ＭＳ ゴシック"/>
                <w:color w:val="000000"/>
                <w:spacing w:val="16"/>
                <w:kern w:val="0"/>
                <w:szCs w:val="21"/>
              </w:rPr>
              <w:t xml:space="preserve">        </w:t>
            </w:r>
            <w:r>
              <w:rPr>
                <w:rFonts w:ascii="ＭＳ ゴシック" w:hAnsi="ＭＳ ゴシック" w:cs="ＭＳ ゴシック" w:eastAsia="ＭＳ ゴシック"/>
                <w:color w:val="000000"/>
                <w:kern w:val="0"/>
                <w:szCs w:val="21"/>
                <w:u w:val="single" w:color="000000"/>
              </w:rPr>
              <w:t xml:space="preserve">                     円（注４）</w:t>
            </w:r>
          </w:p>
          <w:p>
            <w:pPr>
              <w:pStyle w:val="Normal"/>
              <w:suppressAutoHyphens w:val="true"/>
              <w:overflowPunct w:val="true"/>
              <w:spacing w:lineRule="exact" w:line="10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r>
    </w:tbl>
    <w:p>
      <w:pPr>
        <w:pStyle w:val="Normal"/>
        <w:suppressAutoHyphens w:val="true"/>
        <w:spacing w:lineRule="exact" w:line="240"/>
        <w:ind w:left="862" w:hanging="862"/>
        <w:jc w:val="left"/>
        <w:textAlignment w:val="baseline"/>
        <w:rPr>
          <w:rFonts w:ascii="ＭＳ ゴシック" w:hAnsi="ＭＳ ゴシック" w:eastAsia="ＭＳ ゴシック" w:cs="ＭＳ ゴシック"/>
          <w:color w:val="000000"/>
          <w:kern w:val="0"/>
          <w:sz w:val="20"/>
          <w:szCs w:val="20"/>
        </w:rPr>
      </w:pPr>
      <w:r>
        <w:rPr>
          <w:rFonts w:ascii="ＭＳ ゴシック" w:hAnsi="ＭＳ ゴシック" w:cs="ＭＳ ゴシック" w:eastAsia="ＭＳ ゴシック"/>
          <w:color w:val="000000"/>
          <w:kern w:val="0"/>
          <w:sz w:val="20"/>
          <w:szCs w:val="20"/>
        </w:rPr>
        <w:t>（注１）本様式は、１つの指定業種に属する事業のみを営んでいる場合、又は営んでいる複数の事業が全て指定業種に属する場合に使用する。</w:t>
      </w:r>
    </w:p>
    <w:p>
      <w:pPr>
        <w:pStyle w:val="Normal"/>
        <w:suppressAutoHyphens w:val="true"/>
        <w:spacing w:lineRule="exact" w:line="230"/>
        <w:ind w:left="862" w:hanging="862"/>
        <w:jc w:val="left"/>
        <w:textAlignment w:val="baseline"/>
        <w:rPr>
          <w:rFonts w:ascii="ＭＳ ゴシック" w:hAnsi="ＭＳ ゴシック" w:eastAsia="ＭＳ ゴシック" w:cs="ＭＳ ゴシック"/>
          <w:color w:val="000000"/>
          <w:kern w:val="0"/>
          <w:sz w:val="20"/>
          <w:szCs w:val="20"/>
        </w:rPr>
      </w:pPr>
      <w:r>
        <w:rPr>
          <w:rFonts w:ascii="ＭＳ ゴシック" w:hAnsi="ＭＳ ゴシック" w:cs="ＭＳ ゴシック" w:eastAsia="ＭＳ ゴシック"/>
          <w:color w:val="000000"/>
          <w:kern w:val="0"/>
          <w:sz w:val="20"/>
          <w:szCs w:val="20"/>
        </w:rPr>
        <w:t>（注２）上昇率及び依存率が２０％以上となっていること。</w:t>
      </w:r>
    </w:p>
    <w:p>
      <w:pPr>
        <w:pStyle w:val="Normal"/>
        <w:suppressAutoHyphens w:val="true"/>
        <w:spacing w:lineRule="exact" w:line="230"/>
        <w:ind w:left="738" w:hanging="738"/>
        <w:jc w:val="left"/>
        <w:textAlignment w:val="baseline"/>
        <w:rPr>
          <w:rFonts w:ascii="ＭＳ ゴシック" w:hAnsi="ＭＳ ゴシック" w:eastAsia="ＭＳ ゴシック" w:cs="ＭＳ ゴシック"/>
          <w:color w:val="000000"/>
          <w:kern w:val="0"/>
          <w:sz w:val="20"/>
          <w:szCs w:val="20"/>
        </w:rPr>
      </w:pPr>
      <w:r>
        <w:rPr>
          <w:rFonts w:ascii="ＭＳ ゴシック" w:hAnsi="ＭＳ ゴシック" w:cs="ＭＳ ゴシック" w:eastAsia="ＭＳ ゴシック"/>
          <w:color w:val="000000"/>
          <w:kern w:val="0"/>
          <w:sz w:val="20"/>
          <w:szCs w:val="20"/>
        </w:rPr>
        <w:t>（注３）Ｐ＞０となっていること。</w:t>
      </w:r>
    </w:p>
    <w:p>
      <w:pPr>
        <w:pStyle w:val="Normal"/>
        <w:suppressAutoHyphens w:val="true"/>
        <w:spacing w:lineRule="exact" w:line="230"/>
        <w:ind w:left="738" w:hanging="738"/>
        <w:jc w:val="left"/>
        <w:textAlignment w:val="baseline"/>
        <w:rPr>
          <w:rFonts w:ascii="ＭＳ ゴシック" w:hAnsi="ＭＳ ゴシック" w:eastAsia="ＭＳ ゴシック"/>
          <w:color w:val="000000"/>
          <w:spacing w:val="16"/>
          <w:kern w:val="0"/>
          <w:sz w:val="20"/>
          <w:szCs w:val="20"/>
        </w:rPr>
      </w:pPr>
      <w:r>
        <w:rPr>
          <w:rFonts w:ascii="ＭＳ ゴシック" w:hAnsi="ＭＳ ゴシック" w:cs="ＭＳ ゴシック" w:eastAsia="ＭＳ ゴシック"/>
          <w:color w:val="000000"/>
          <w:kern w:val="0"/>
          <w:sz w:val="20"/>
          <w:szCs w:val="20"/>
        </w:rPr>
        <w:t>（注４）申請者全体の値を記載。</w:t>
      </w:r>
    </w:p>
    <w:p>
      <w:pPr>
        <w:pStyle w:val="Normal"/>
        <w:suppressAutoHyphens w:val="true"/>
        <w:spacing w:lineRule="exact" w:line="230"/>
        <w:ind w:left="1230" w:hanging="1230"/>
        <w:jc w:val="left"/>
        <w:textAlignment w:val="baseline"/>
        <w:rPr>
          <w:rFonts w:ascii="ＭＳ ゴシック" w:hAnsi="ＭＳ ゴシック" w:eastAsia="ＭＳ ゴシック"/>
          <w:color w:val="000000"/>
          <w:spacing w:val="16"/>
          <w:kern w:val="0"/>
          <w:sz w:val="20"/>
          <w:szCs w:val="20"/>
        </w:rPr>
      </w:pPr>
      <w:r>
        <w:rPr>
          <w:rFonts w:ascii="ＭＳ ゴシック" w:hAnsi="ＭＳ ゴシック" w:cs="ＭＳ ゴシック" w:eastAsia="ＭＳ ゴシック"/>
          <w:color w:val="000000"/>
          <w:kern w:val="0"/>
          <w:sz w:val="20"/>
          <w:szCs w:val="20"/>
        </w:rPr>
        <w:t>（留意事項）</w:t>
      </w:r>
    </w:p>
    <w:p>
      <w:pPr>
        <w:pStyle w:val="Normal"/>
        <w:suppressAutoHyphens w:val="true"/>
        <w:spacing w:lineRule="exact" w:line="230"/>
        <w:jc w:val="left"/>
        <w:textAlignment w:val="baseline"/>
        <w:rPr>
          <w:rFonts w:ascii="ＭＳ ゴシック" w:hAnsi="ＭＳ ゴシック" w:eastAsia="ＭＳ ゴシック"/>
          <w:color w:val="000000"/>
          <w:spacing w:val="16"/>
          <w:kern w:val="0"/>
          <w:sz w:val="20"/>
          <w:szCs w:val="20"/>
        </w:rPr>
      </w:pPr>
      <w:r>
        <w:rPr>
          <w:rFonts w:ascii="ＭＳ ゴシック" w:hAnsi="ＭＳ ゴシック" w:cs="ＭＳ ゴシック" w:eastAsia="ＭＳ ゴシック"/>
          <w:color w:val="000000"/>
          <w:kern w:val="0"/>
          <w:sz w:val="20"/>
          <w:szCs w:val="20"/>
        </w:rPr>
        <w:t>　①　本認定とは別に、金融機関及び信用保証協会による金融上の審査があります。</w:t>
      </w:r>
    </w:p>
    <w:p>
      <w:pPr>
        <w:pStyle w:val="Normal"/>
        <w:widowControl/>
        <w:spacing w:lineRule="exact" w:line="230"/>
        <w:ind w:left="514" w:hanging="514"/>
        <w:jc w:val="left"/>
        <w:rPr/>
      </w:pPr>
      <w:r>
        <mc:AlternateContent>
          <mc:Choice Requires="wpg">
            <w:drawing>
              <wp:anchor behindDoc="0" distT="0" distB="0" distL="114300" distR="114300" simplePos="0" locked="0" layoutInCell="1" allowOverlap="1" relativeHeight="2">
                <wp:simplePos x="0" y="0"/>
                <wp:positionH relativeFrom="column">
                  <wp:posOffset>-31115</wp:posOffset>
                </wp:positionH>
                <wp:positionV relativeFrom="paragraph">
                  <wp:posOffset>326390</wp:posOffset>
                </wp:positionV>
                <wp:extent cx="6283960" cy="1707515"/>
                <wp:effectExtent l="2540" t="13970" r="10160" b="3175"/>
                <wp:wrapNone/>
                <wp:docPr id="1" name="Group 2"/>
                <a:graphic xmlns:a="http://schemas.openxmlformats.org/drawingml/2006/main">
                  <a:graphicData uri="http://schemas.microsoft.com/office/word/2010/wordprocessingGroup">
                    <wpg:wgp>
                      <wpg:cNvGrpSpPr/>
                      <wpg:grpSpPr>
                        <a:xfrm>
                          <a:off x="0" y="0"/>
                          <a:ext cx="6283440" cy="1706760"/>
                        </a:xfrm>
                      </wpg:grpSpPr>
                      <wps:wsp>
                        <wps:cNvSpPr/>
                        <wps:spPr>
                          <a:xfrm>
                            <a:off x="0" y="87480"/>
                            <a:ext cx="6283440" cy="1619280"/>
                          </a:xfrm>
                          <a:prstGeom prst="rect">
                            <a:avLst/>
                          </a:prstGeom>
                          <a:solidFill>
                            <a:srgbClr val="ffffff"/>
                          </a:solidFill>
                          <a:ln>
                            <a:noFill/>
                          </a:ln>
                        </wps:spPr>
                        <wps:style>
                          <a:lnRef idx="0"/>
                          <a:fillRef idx="0"/>
                          <a:effectRef idx="0"/>
                          <a:fontRef idx="minor"/>
                        </wps:style>
                        <wps:txbx>
                          <w:txbxContent>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産第　　　　　　号</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w:t>
                              </w:r>
                              <w:r>
                                <w:rPr>
                                  <w:u w:val="none"/>
                                  <w:dstrike w:val="false"/>
                                  <w:strike w:val="false"/>
                                  <w:vertAlign w:val="baseline"/>
                                  <w:position w:val="0"/>
                                  <w:sz w:val="21"/>
                                  <w:spacing w:val="0"/>
                                  <w:sz w:val="21"/>
                                  <w:szCs w:val="21"/>
                                  <w:b w:val="false"/>
                                  <w:bCs w:val="false"/>
                                  <w:i w:val="false"/>
                                  <w:iCs w:val="false"/>
                                  <w:smallCaps w:val="false"/>
                                  <w:caps w:val="false"/>
                                  <w:rFonts w:ascii="ＭＳ ゴシック" w:hAnsi="ＭＳ ゴシック" w:eastAsia="ＭＳ ゴシック" w:cs="ＭＳ ゴシック"/>
                                  <w:color w:val="000000"/>
                                </w:rPr>
                                <w:t>　　　　年　　月　　日</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Fonts w:ascii="ＭＳ ゴシック" w:hAnsi="ＭＳ ゴシック" w:eastAsia="ＭＳ ゴシック" w:cs="ＭＳ ゴシック"/>
                                  <w:color w:val="000000"/>
                                </w:rPr>
                                <w:t>　申請のとおり、相違ないことを認定します。</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Fonts w:ascii="ＭＳ ゴシック" w:hAnsi="ＭＳ ゴシック" w:eastAsia="ＭＳ ゴシック" w:cs="ＭＳ ゴシック"/>
                                  <w:color w:val="000000"/>
                                </w:rPr>
                                <w:t>　（注）本認定書の有効期間：　　　　年　　月　　日から　　　　年　　月　　日まで</w:t>
                              </w:r>
                            </w:p>
                            <w:p>
                              <w:pPr>
                                <w:overflowPunct w:val="false"/>
                                <w:spacing w:before="0" w:after="0" w:lineRule="auto" w:line="360"/>
                                <w:jc w:val="left"/>
                                <w:rPr/>
                              </w:pPr>
                              <w:r>
                                <w:rPr>
                                  <w:u w:val="none"/>
                                  <w:dstrike w:val="false"/>
                                  <w:strike w:val="false"/>
                                  <w:vertAlign w:val="baseline"/>
                                  <w:position w:val="0"/>
                                  <w:sz w:val="21"/>
                                  <w:spacing w:val="0"/>
                                  <w:sz w:val="21"/>
                                  <w:szCs w:val="21"/>
                                  <w:b w:val="false"/>
                                  <w:bCs w:val="false"/>
                                  <w:i w:val="false"/>
                                  <w:iCs w:val="false"/>
                                  <w:smallCaps w:val="false"/>
                                  <w:caps w:val="false"/>
                                  <w:rFonts w:ascii="ＭＳ ゴシック" w:hAnsi="ＭＳ ゴシック" w:eastAsia="ＭＳ ゴシック" w:cs="ＭＳ ゴシック"/>
                                  <w:color w:val="000000"/>
                                </w:rPr>
                                <w:t>　</w:t>
                              </w:r>
                            </w:p>
                            <w:p>
                              <w:pPr>
                                <w:overflowPunct w:val="false"/>
                                <w:spacing w:before="0" w:after="0" w:lineRule="auto" w:line="240"/>
                                <w:jc w:val="left"/>
                                <w:rPr/>
                              </w:pPr>
                              <w:r>
                                <w:rPr>
                                  <w:u w:val="none"/>
                                  <w:dstrike w:val="false"/>
                                  <w:strike w:val="false"/>
                                  <w:vertAlign w:val="baseline"/>
                                  <w:position w:val="0"/>
                                  <w:sz w:val="21"/>
                                  <w:spacing w:val="0"/>
                                  <w:sz w:val="21"/>
                                  <w:szCs w:val="21"/>
                                  <w:b w:val="false"/>
                                  <w:bCs w:val="false"/>
                                  <w:i w:val="false"/>
                                  <w:iCs w:val="false"/>
                                  <w:smallCaps w:val="false"/>
                                  <w:caps w:val="false"/>
                                  <w:rFonts w:ascii="ＭＳ ゴシック" w:hAnsi="ＭＳ ゴシック" w:eastAsia="ＭＳ ゴシック" w:cs="ＭＳ ゴシック"/>
                                  <w:color w:val="000000"/>
                                </w:rPr>
                                <w:t>　　　　　　　　　　　　　　　　　　　　　　　　　遊佐町長　時田　博機</w:t>
                              </w:r>
                            </w:p>
                          </w:txbxContent>
                        </wps:txbx>
                        <wps:bodyPr lIns="74160" rIns="74160" tIns="9000" bIns="9000">
                          <a:noAutofit/>
                        </wps:bodyPr>
                      </wps:wsp>
                      <wps:wsp>
                        <wps:cNvSpPr/>
                        <wps:spPr>
                          <a:xfrm>
                            <a:off x="57240" y="0"/>
                            <a:ext cx="6226200" cy="720"/>
                          </a:xfrm>
                          <a:custGeom>
                            <a:avLst/>
                            <a:gdLst/>
                            <a:ahLst/>
                            <a:rect l="l" t="t" r="r" b="b"/>
                            <a:pathLst>
                              <a:path w="21600" h="21600">
                                <a:moveTo>
                                  <a:pt x="0" y="0"/>
                                </a:moveTo>
                                <a:lnTo>
                                  <a:pt x="21600" y="21600"/>
                                </a:lnTo>
                              </a:path>
                            </a:pathLst>
                          </a:custGeom>
                          <a:noFill/>
                          <a:ln cap="rnd" w="12600">
                            <a:solidFill>
                              <a:srgbClr val="000000"/>
                            </a:solidFill>
                            <a:custDash>
                              <a:ds d="400000" sp="300000"/>
                            </a:custDash>
                            <a:round/>
                          </a:ln>
                        </wps:spPr>
                        <wps:style>
                          <a:lnRef idx="0"/>
                          <a:fillRef idx="0"/>
                          <a:effectRef idx="0"/>
                          <a:fontRef idx="minor"/>
                        </wps:style>
                        <wps:bodyPr/>
                      </wps:wsp>
                    </wpg:wgp>
                  </a:graphicData>
                </a:graphic>
              </wp:anchor>
            </w:drawing>
          </mc:Choice>
          <mc:Fallback>
            <w:pict>
              <v:group id="shape_0" alt="Group 2" style="position:absolute;margin-left:-2.45pt;margin-top:25.7pt;width:494.75pt;height:134.4pt" coordorigin="-49,514" coordsize="9895,2688">
                <v:rect id="shape_0" ID="Rectangle 3" fillcolor="white" stroked="f" style="position:absolute;left:-49;top:652;width:9894;height:2549">
                  <v:textbox>
                    <w:txbxContent>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産第　　　　　　号</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w:t>
                        </w:r>
                        <w:r>
                          <w:rPr>
                            <w:u w:val="none"/>
                            <w:dstrike w:val="false"/>
                            <w:strike w:val="false"/>
                            <w:vertAlign w:val="baseline"/>
                            <w:position w:val="0"/>
                            <w:sz w:val="21"/>
                            <w:spacing w:val="0"/>
                            <w:sz w:val="21"/>
                            <w:szCs w:val="21"/>
                            <w:b w:val="false"/>
                            <w:bCs w:val="false"/>
                            <w:i w:val="false"/>
                            <w:iCs w:val="false"/>
                            <w:smallCaps w:val="false"/>
                            <w:caps w:val="false"/>
                            <w:rFonts w:ascii="ＭＳ ゴシック" w:hAnsi="ＭＳ ゴシック" w:eastAsia="ＭＳ ゴシック" w:cs="ＭＳ ゴシック"/>
                            <w:color w:val="000000"/>
                          </w:rPr>
                          <w:t>　　　　年　　月　　日</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Fonts w:ascii="ＭＳ ゴシック" w:hAnsi="ＭＳ ゴシック" w:eastAsia="ＭＳ ゴシック" w:cs="ＭＳ ゴシック"/>
                            <w:color w:val="000000"/>
                          </w:rPr>
                          <w:t>　申請のとおり、相違ないことを認定します。</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Fonts w:ascii="ＭＳ ゴシック" w:hAnsi="ＭＳ ゴシック" w:eastAsia="ＭＳ ゴシック" w:cs="ＭＳ ゴシック"/>
                            <w:color w:val="000000"/>
                          </w:rPr>
                          <w:t>　（注）本認定書の有効期間：　　　　年　　月　　日から　　　　年　　月　　日まで</w:t>
                        </w:r>
                      </w:p>
                      <w:p>
                        <w:pPr>
                          <w:overflowPunct w:val="false"/>
                          <w:spacing w:before="0" w:after="0" w:lineRule="auto" w:line="360"/>
                          <w:jc w:val="left"/>
                          <w:rPr/>
                        </w:pPr>
                        <w:r>
                          <w:rPr>
                            <w:u w:val="none"/>
                            <w:dstrike w:val="false"/>
                            <w:strike w:val="false"/>
                            <w:vertAlign w:val="baseline"/>
                            <w:position w:val="0"/>
                            <w:sz w:val="21"/>
                            <w:spacing w:val="0"/>
                            <w:sz w:val="21"/>
                            <w:szCs w:val="21"/>
                            <w:b w:val="false"/>
                            <w:bCs w:val="false"/>
                            <w:i w:val="false"/>
                            <w:iCs w:val="false"/>
                            <w:smallCaps w:val="false"/>
                            <w:caps w:val="false"/>
                            <w:rFonts w:ascii="ＭＳ ゴシック" w:hAnsi="ＭＳ ゴシック" w:eastAsia="ＭＳ ゴシック" w:cs="ＭＳ ゴシック"/>
                            <w:color w:val="000000"/>
                          </w:rPr>
                          <w:t>　</w:t>
                        </w:r>
                      </w:p>
                      <w:p>
                        <w:pPr>
                          <w:overflowPunct w:val="false"/>
                          <w:spacing w:before="0" w:after="0" w:lineRule="auto" w:line="240"/>
                          <w:jc w:val="left"/>
                          <w:rPr/>
                        </w:pPr>
                        <w:r>
                          <w:rPr>
                            <w:u w:val="none"/>
                            <w:dstrike w:val="false"/>
                            <w:strike w:val="false"/>
                            <w:vertAlign w:val="baseline"/>
                            <w:position w:val="0"/>
                            <w:sz w:val="21"/>
                            <w:spacing w:val="0"/>
                            <w:sz w:val="21"/>
                            <w:szCs w:val="21"/>
                            <w:b w:val="false"/>
                            <w:bCs w:val="false"/>
                            <w:i w:val="false"/>
                            <w:iCs w:val="false"/>
                            <w:smallCaps w:val="false"/>
                            <w:caps w:val="false"/>
                            <w:rFonts w:ascii="ＭＳ ゴシック" w:hAnsi="ＭＳ ゴシック" w:eastAsia="ＭＳ ゴシック" w:cs="ＭＳ ゴシック"/>
                            <w:color w:val="000000"/>
                          </w:rPr>
                          <w:t>　　　　　　　　　　　　　　　　　　　　　　　　　遊佐町長　時田　博機</w:t>
                        </w:r>
                      </w:p>
                    </w:txbxContent>
                  </v:textbox>
                  <w10:wrap type="square"/>
                  <v:fill o:detectmouseclick="t" type="solid" color2="black"/>
                  <v:stroke color="#3465a4" joinstyle="round" endcap="flat"/>
                </v:rect>
                <v:shapetype id="shapetype_32" coordsize="21600,21600" o:spt="32" path="m,l21600,21600nfe">
                  <v:stroke joinstyle="miter"/>
                  <v:path gradientshapeok="t" o:connecttype="rect" textboxrect="0,0,21600,21600"/>
                </v:shapetype>
                <v:shape id="shape_0" ID="AutoShape 4" stroked="t" style="position:absolute;left:41;top:514;width:9804;height:0" type="shapetype_32">
                  <w10:wrap type="none"/>
                  <v:fill o:detectmouseclick="t" on="false"/>
                  <v:stroke color="black" weight="12600" dashstyle="dash" joinstyle="round" endcap="round"/>
                </v:shape>
              </v:group>
            </w:pict>
          </mc:Fallback>
        </mc:AlternateContent>
      </w:r>
      <w:r>
        <w:rPr>
          <w:rFonts w:ascii="ＭＳ ゴシック" w:hAnsi="ＭＳ ゴシック" w:cs="ＭＳ ゴシック" w:eastAsia="ＭＳ ゴシック"/>
          <w:color w:val="000000"/>
          <w:kern w:val="0"/>
          <w:sz w:val="20"/>
          <w:szCs w:val="20"/>
        </w:rPr>
        <w:t>　②　市町村長又は特別区長から認定を受けた後、本認定の有効期間内に金融機関又は信用保証協会に対して、経営安定関連保証の申込みを行うことが必要です。</w:t>
      </w:r>
    </w:p>
    <w:sectPr>
      <w:type w:val="nextPage"/>
      <w:pgSz w:w="11906" w:h="16838"/>
      <w:pgMar w:left="1134" w:right="1134" w:header="0" w:top="567" w:footer="0" w:bottom="567" w:gutter="0"/>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swiss"/>
    <w:pitch w:val="variable"/>
  </w:font>
  <w:font w:name="ＭＳ ゴシック">
    <w:charset w:val="80"/>
    <w:family w:val="auto"/>
    <w:pitch w:val="default"/>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30d4"/>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1">
    <w:name w:val="Heading 1"/>
    <w:basedOn w:val="Normal"/>
    <w:link w:val="10"/>
    <w:uiPriority w:val="9"/>
    <w:qFormat/>
    <w:rsid w:val="00a830d4"/>
    <w:pPr>
      <w:keepNext w:val="true"/>
      <w:outlineLvl w:val="0"/>
    </w:pPr>
    <w:rPr>
      <w:rFonts w:ascii="Arial" w:hAnsi="Arial" w:eastAsia="ＭＳ ゴシック" w:cs="" w:asciiTheme="majorHAnsi" w:cstheme="majorBidi" w:eastAsiaTheme="majorEastAsia" w:hAnsiTheme="majorHAnsi"/>
      <w:sz w:val="24"/>
      <w:szCs w:val="24"/>
    </w:rPr>
  </w:style>
  <w:style w:type="paragraph" w:styleId="2">
    <w:name w:val="Heading 2"/>
    <w:basedOn w:val="Normal"/>
    <w:link w:val="20"/>
    <w:uiPriority w:val="9"/>
    <w:semiHidden/>
    <w:unhideWhenUsed/>
    <w:qFormat/>
    <w:rsid w:val="00a830d4"/>
    <w:pPr>
      <w:keepNext w:val="true"/>
      <w:outlineLvl w:val="1"/>
    </w:pPr>
    <w:rPr>
      <w:rFonts w:ascii="Arial" w:hAnsi="Arial" w:eastAsia="ＭＳ ゴシック" w:cs="" w:asciiTheme="majorHAnsi" w:cstheme="majorBid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見出し 1 (文字)"/>
    <w:basedOn w:val="DefaultParagraphFont"/>
    <w:link w:val="1"/>
    <w:uiPriority w:val="9"/>
    <w:qFormat/>
    <w:rsid w:val="00a830d4"/>
    <w:rPr>
      <w:rFonts w:ascii="Arial" w:hAnsi="Arial" w:eastAsia="ＭＳ ゴシック" w:cs="" w:asciiTheme="majorHAnsi" w:cstheme="majorBidi" w:eastAsiaTheme="majorEastAsia" w:hAnsiTheme="majorHAnsi"/>
      <w:sz w:val="24"/>
      <w:szCs w:val="24"/>
    </w:rPr>
  </w:style>
  <w:style w:type="character" w:styleId="21" w:customStyle="1">
    <w:name w:val="見出し 2 (文字)"/>
    <w:basedOn w:val="DefaultParagraphFont"/>
    <w:link w:val="2"/>
    <w:uiPriority w:val="9"/>
    <w:semiHidden/>
    <w:qFormat/>
    <w:rsid w:val="00a830d4"/>
    <w:rPr>
      <w:rFonts w:ascii="Arial" w:hAnsi="Arial" w:eastAsia="ＭＳ ゴシック" w:cs="" w:asciiTheme="majorHAnsi" w:cstheme="majorBidi" w:eastAsiaTheme="majorEastAsia" w:hAnsiTheme="majorHAnsi"/>
    </w:rPr>
  </w:style>
  <w:style w:type="character" w:styleId="Style12" w:customStyle="1">
    <w:name w:val="ヘッダー (文字)"/>
    <w:basedOn w:val="DefaultParagraphFont"/>
    <w:link w:val="a4"/>
    <w:uiPriority w:val="99"/>
    <w:qFormat/>
    <w:rsid w:val="001d602d"/>
    <w:rPr/>
  </w:style>
  <w:style w:type="character" w:styleId="Style13" w:customStyle="1">
    <w:name w:val="フッター (文字)"/>
    <w:basedOn w:val="DefaultParagraphFont"/>
    <w:link w:val="a6"/>
    <w:uiPriority w:val="99"/>
    <w:qFormat/>
    <w:rsid w:val="001d602d"/>
    <w:rPr/>
  </w:style>
  <w:style w:type="character" w:styleId="Style14" w:customStyle="1">
    <w:name w:val="吹き出し (文字)"/>
    <w:basedOn w:val="DefaultParagraphFont"/>
    <w:link w:val="a8"/>
    <w:uiPriority w:val="99"/>
    <w:semiHidden/>
    <w:qFormat/>
    <w:rsid w:val="001d602d"/>
    <w:rPr>
      <w:rFonts w:ascii="Arial" w:hAnsi="Arial" w:eastAsia="ＭＳ ゴシック" w:cs="" w:asciiTheme="majorHAnsi" w:cstheme="majorBidi" w:eastAsiaTheme="majorEastAsia" w:hAnsiTheme="majorHAnsi"/>
      <w:sz w:val="18"/>
      <w:szCs w:val="18"/>
    </w:rPr>
  </w:style>
  <w:style w:type="character" w:styleId="PlaceholderText">
    <w:name w:val="Placeholder Text"/>
    <w:basedOn w:val="DefaultParagraphFont"/>
    <w:uiPriority w:val="99"/>
    <w:semiHidden/>
    <w:qFormat/>
    <w:rsid w:val="001d602d"/>
    <w:rPr>
      <w:color w:val="808080"/>
    </w:rPr>
  </w:style>
  <w:style w:type="character" w:styleId="Annotationreference">
    <w:name w:val="annotation reference"/>
    <w:basedOn w:val="DefaultParagraphFont"/>
    <w:semiHidden/>
    <w:unhideWhenUsed/>
    <w:qFormat/>
    <w:rsid w:val="009f35f4"/>
    <w:rPr>
      <w:sz w:val="18"/>
      <w:szCs w:val="18"/>
    </w:rPr>
  </w:style>
  <w:style w:type="character" w:styleId="Style15" w:customStyle="1">
    <w:name w:val="コメント文字列 (文字)"/>
    <w:basedOn w:val="DefaultParagraphFont"/>
    <w:link w:val="ac"/>
    <w:semiHidden/>
    <w:qFormat/>
    <w:rsid w:val="009f35f4"/>
    <w:rPr/>
  </w:style>
  <w:style w:type="character" w:styleId="Style16" w:customStyle="1">
    <w:name w:val="コメント内容 (文字)"/>
    <w:basedOn w:val="Style15"/>
    <w:link w:val="ae"/>
    <w:uiPriority w:val="99"/>
    <w:semiHidden/>
    <w:qFormat/>
    <w:rsid w:val="009f35f4"/>
    <w:rPr>
      <w:b/>
      <w:bCs/>
    </w:rPr>
  </w:style>
  <w:style w:type="character" w:styleId="Pagenumber">
    <w:name w:val="page number"/>
    <w:basedOn w:val="DefaultParagraphFont"/>
    <w:qFormat/>
    <w:rsid w:val="006920e0"/>
    <w:rPr/>
  </w:style>
  <w:style w:type="character" w:styleId="Style17" w:customStyle="1">
    <w:name w:val="日付 (文字)"/>
    <w:basedOn w:val="DefaultParagraphFont"/>
    <w:link w:val="af4"/>
    <w:qFormat/>
    <w:rsid w:val="006920e0"/>
    <w:rPr>
      <w:rFonts w:ascii="Century" w:hAnsi="Century" w:eastAsia="ＭＳ 明朝" w:cs="Times New Roman"/>
      <w:szCs w:val="24"/>
    </w:rPr>
  </w:style>
  <w:style w:type="character" w:styleId="Style18" w:customStyle="1">
    <w:name w:val="書式なし (文字)"/>
    <w:basedOn w:val="DefaultParagraphFont"/>
    <w:link w:val="af6"/>
    <w:uiPriority w:val="99"/>
    <w:qFormat/>
    <w:rsid w:val="006920e0"/>
    <w:rPr>
      <w:rFonts w:ascii="ＭＳ ゴシック" w:hAnsi="ＭＳ ゴシック" w:eastAsia="ＭＳ ゴシック" w:cs="Times New Roman"/>
      <w:sz w:val="20"/>
      <w:szCs w:val="21"/>
    </w:rPr>
  </w:style>
  <w:style w:type="character" w:styleId="Style19" w:customStyle="1">
    <w:name w:val="記 (文字)"/>
    <w:basedOn w:val="DefaultParagraphFont"/>
    <w:link w:val="af8"/>
    <w:qFormat/>
    <w:rsid w:val="006920e0"/>
    <w:rPr>
      <w:rFonts w:ascii="ＭＳ ゴシック" w:hAnsi="ＭＳ ゴシック" w:eastAsia="ＭＳ ゴシック" w:cs="ＭＳ ゴシック"/>
      <w:color w:val="000000"/>
      <w:kern w:val="0"/>
      <w:szCs w:val="21"/>
    </w:rPr>
  </w:style>
  <w:style w:type="character" w:styleId="Style20" w:customStyle="1">
    <w:name w:val="結語 (文字)"/>
    <w:basedOn w:val="DefaultParagraphFont"/>
    <w:link w:val="afa"/>
    <w:qFormat/>
    <w:rsid w:val="006920e0"/>
    <w:rPr>
      <w:rFonts w:ascii="ＭＳ ゴシック" w:hAnsi="ＭＳ ゴシック" w:eastAsia="ＭＳ ゴシック" w:cs="ＭＳ ゴシック"/>
      <w:color w:val="000000"/>
      <w:kern w:val="0"/>
      <w:szCs w:val="21"/>
    </w:rPr>
  </w:style>
  <w:style w:type="paragraph" w:styleId="Style21">
    <w:name w:val="見出し"/>
    <w:basedOn w:val="Normal"/>
    <w:next w:val="Style22"/>
    <w:qFormat/>
    <w:pPr>
      <w:keepNext w:val="true"/>
      <w:spacing w:before="240" w:after="120"/>
    </w:pPr>
    <w:rPr>
      <w:rFonts w:ascii="Liberation Sans" w:hAnsi="Liberation Sans" w:eastAsia="ＭＳ ゴシック" w:cs="Ari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索引"/>
    <w:basedOn w:val="Normal"/>
    <w:qFormat/>
    <w:pPr>
      <w:suppressLineNumbers/>
    </w:pPr>
    <w:rPr>
      <w:rFonts w:cs="Arial"/>
    </w:rPr>
  </w:style>
  <w:style w:type="paragraph" w:styleId="TOCHeading">
    <w:name w:val="TOC Heading"/>
    <w:basedOn w:val="1"/>
    <w:uiPriority w:val="39"/>
    <w:semiHidden/>
    <w:unhideWhenUsed/>
    <w:qFormat/>
    <w:rsid w:val="00a830d4"/>
    <w:pPr/>
    <w:rPr/>
  </w:style>
  <w:style w:type="paragraph" w:styleId="Style26">
    <w:name w:val="Header"/>
    <w:basedOn w:val="Normal"/>
    <w:link w:val="a5"/>
    <w:uiPriority w:val="99"/>
    <w:unhideWhenUsed/>
    <w:rsid w:val="001d602d"/>
    <w:pPr>
      <w:tabs>
        <w:tab w:val="center" w:pos="4252" w:leader="none"/>
        <w:tab w:val="right" w:pos="8504" w:leader="none"/>
      </w:tabs>
      <w:snapToGrid w:val="false"/>
    </w:pPr>
    <w:rPr/>
  </w:style>
  <w:style w:type="paragraph" w:styleId="Style27">
    <w:name w:val="Footer"/>
    <w:basedOn w:val="Normal"/>
    <w:link w:val="a7"/>
    <w:uiPriority w:val="99"/>
    <w:unhideWhenUsed/>
    <w:rsid w:val="001d602d"/>
    <w:pPr>
      <w:tabs>
        <w:tab w:val="center" w:pos="4252" w:leader="none"/>
        <w:tab w:val="right" w:pos="8504" w:leader="none"/>
      </w:tabs>
      <w:snapToGrid w:val="false"/>
    </w:pPr>
    <w:rPr/>
  </w:style>
  <w:style w:type="paragraph" w:styleId="BalloonText">
    <w:name w:val="Balloon Text"/>
    <w:basedOn w:val="Normal"/>
    <w:link w:val="a9"/>
    <w:semiHidden/>
    <w:unhideWhenUsed/>
    <w:qFormat/>
    <w:rsid w:val="001d602d"/>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semiHidden/>
    <w:unhideWhenUsed/>
    <w:qFormat/>
    <w:rsid w:val="009f35f4"/>
    <w:pPr>
      <w:jc w:val="left"/>
    </w:pPr>
    <w:rPr/>
  </w:style>
  <w:style w:type="paragraph" w:styleId="Annotationsubject">
    <w:name w:val="annotation subject"/>
    <w:basedOn w:val="Annotationtext"/>
    <w:link w:val="af"/>
    <w:semiHidden/>
    <w:unhideWhenUsed/>
    <w:qFormat/>
    <w:rsid w:val="009f35f4"/>
    <w:pPr/>
    <w:rPr>
      <w:b/>
      <w:bCs/>
    </w:rPr>
  </w:style>
  <w:style w:type="paragraph" w:styleId="Revision">
    <w:name w:val="Revision"/>
    <w:uiPriority w:val="99"/>
    <w:semiHidden/>
    <w:qFormat/>
    <w:rsid w:val="00b07fa6"/>
    <w:pPr>
      <w:widowControl/>
      <w:bidi w:val="0"/>
      <w:jc w:val="left"/>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ListParagraph">
    <w:name w:val="List Paragraph"/>
    <w:basedOn w:val="Normal"/>
    <w:uiPriority w:val="34"/>
    <w:qFormat/>
    <w:rsid w:val="006920e0"/>
    <w:pPr>
      <w:ind w:left="840" w:hanging="0"/>
    </w:pPr>
    <w:rPr>
      <w:rFonts w:ascii="Century" w:hAnsi="Century" w:eastAsia="ＭＳ 明朝" w:cs="Times New Roman"/>
    </w:rPr>
  </w:style>
  <w:style w:type="paragraph" w:styleId="Date">
    <w:name w:val="Date"/>
    <w:basedOn w:val="Normal"/>
    <w:link w:val="af5"/>
    <w:qFormat/>
    <w:rsid w:val="006920e0"/>
    <w:pPr/>
    <w:rPr>
      <w:rFonts w:ascii="Century" w:hAnsi="Century" w:eastAsia="ＭＳ 明朝" w:cs="Times New Roman"/>
      <w:szCs w:val="24"/>
    </w:rPr>
  </w:style>
  <w:style w:type="paragraph" w:styleId="PlainText">
    <w:name w:val="Plain Text"/>
    <w:basedOn w:val="Normal"/>
    <w:link w:val="af7"/>
    <w:uiPriority w:val="99"/>
    <w:unhideWhenUsed/>
    <w:qFormat/>
    <w:rsid w:val="006920e0"/>
    <w:pPr>
      <w:jc w:val="left"/>
    </w:pPr>
    <w:rPr>
      <w:rFonts w:ascii="ＭＳ ゴシック" w:hAnsi="ＭＳ ゴシック" w:eastAsia="ＭＳ ゴシック" w:cs="Times New Roman"/>
      <w:sz w:val="20"/>
      <w:szCs w:val="21"/>
    </w:rPr>
  </w:style>
  <w:style w:type="paragraph" w:styleId="NoteHeading">
    <w:name w:val="Note Heading"/>
    <w:basedOn w:val="Normal"/>
    <w:link w:val="af9"/>
    <w:qFormat/>
    <w:rsid w:val="006920e0"/>
    <w:pPr>
      <w:jc w:val="center"/>
    </w:pPr>
    <w:rPr>
      <w:rFonts w:ascii="ＭＳ ゴシック" w:hAnsi="ＭＳ ゴシック" w:eastAsia="ＭＳ ゴシック" w:cs="ＭＳ ゴシック"/>
      <w:color w:val="000000"/>
      <w:kern w:val="0"/>
      <w:szCs w:val="21"/>
    </w:rPr>
  </w:style>
  <w:style w:type="paragraph" w:styleId="Closing">
    <w:name w:val="Closing"/>
    <w:basedOn w:val="Normal"/>
    <w:link w:val="afb"/>
    <w:qFormat/>
    <w:rsid w:val="006920e0"/>
    <w:pPr>
      <w:jc w:val="right"/>
    </w:pPr>
    <w:rPr>
      <w:rFonts w:ascii="ＭＳ ゴシック" w:hAnsi="ＭＳ ゴシック" w:eastAsia="ＭＳ ゴシック" w:cs="ＭＳ ゴシック"/>
      <w:color w:val="000000"/>
      <w:kern w:val="0"/>
      <w:szCs w:val="21"/>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rsid w:val="006920e0"/>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31E70-6043-4271-B84A-131AEED6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LibreOffice/5.4.5.1$Windows_X86_64 LibreOffice_project/79c9829dd5d8054ec39a82dc51cd9eff340dbee8</Application>
  <Pages>1</Pages>
  <Words>874</Words>
  <Characters>882</Characters>
  <CharactersWithSpaces>1395</CharactersWithSpaces>
  <Paragraphs>35</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2019-04-04T07:19:00Z</dcterms:created>
  <dc:creator>情報システム厚生課２</dc:creator>
  <dc:description/>
  <dc:language>ja-JP</dc:language>
  <cp:lastModifiedBy/>
  <cp:lastPrinted>2012-10-16T05:41:00Z</cp:lastPrinted>
  <dcterms:modified xsi:type="dcterms:W3CDTF">2020-03-09T13:36:56Z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