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ＭＳ ゴシック" w:hAnsi="ＭＳ ゴシック" w:eastAsia="ＭＳ ゴシック"/>
          <w:sz w:val="24"/>
        </w:rPr>
      </w:pPr>
      <w:r>
        <w:rPr>
          <w:rFonts w:eastAsia="ＭＳ ゴシック" w:ascii="ＭＳ ゴシック" w:hAnsi="ＭＳ ゴシック"/>
          <w:sz w:val="24"/>
        </w:rPr>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43"/>
        <w:gridCol w:w="3344"/>
        <w:gridCol w:w="3344"/>
      </w:tblGrid>
      <w:tr>
        <w:trPr>
          <w:trHeight w:val="400" w:hRule="atLeast"/>
        </w:trPr>
        <w:tc>
          <w:tcPr>
            <w:tcW w:w="10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center"/>
              <w:rPr>
                <w:rFonts w:ascii="ＭＳ ゴシック" w:hAnsi="ＭＳ ゴシック"/>
              </w:rPr>
            </w:pPr>
            <w:r>
              <w:rPr>
                <w:rFonts w:ascii="ＭＳ ゴシック" w:hAnsi="ＭＳ ゴシック" w:eastAsia="ＭＳ ゴシック" w:asciiTheme="majorEastAsia" w:eastAsiaTheme="majorEastAsia" w:hAnsiTheme="majorEastAsia"/>
              </w:rPr>
              <w:t>認定権者記載欄</w:t>
            </w:r>
          </w:p>
        </w:tc>
      </w:tr>
      <w:tr>
        <w:trPr>
          <w:trHeight w:val="238" w:hRule="atLeast"/>
        </w:trPr>
        <w:tc>
          <w:tcPr>
            <w:tcW w:w="3343"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8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r>
        <w:trPr>
          <w:trHeight w:val="273" w:hRule="atLeast"/>
        </w:trPr>
        <w:tc>
          <w:tcPr>
            <w:tcW w:w="3343"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atLeast" w:line="366"/>
        <w:jc w:val="left"/>
        <w:rPr>
          <w:rFonts w:ascii="ＭＳ ゴシック" w:hAnsi="ＭＳ ゴシック" w:eastAsia="ＭＳ ゴシック"/>
          <w:sz w:val="24"/>
        </w:rPr>
      </w:pPr>
      <w:r>
        <w:rPr>
          <w:rFonts w:ascii="ＭＳ ゴシック" w:hAnsi="ＭＳ ゴシック" w:cs="ＭＳ ゴシック" w:eastAsia="ＭＳ ゴシック"/>
          <w:color w:val="000000"/>
          <w:kern w:val="0"/>
          <w:szCs w:val="21"/>
        </w:rPr>
        <w:t>様式第５－（イ）－③</w:t>
      </w:r>
    </w:p>
    <w:tbl>
      <w:tblPr>
        <w:tblW w:w="9923"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center"/>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中小企業信用保険法第２条第５項第５号の規定による認定申請書（イ－③）</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rPr>
              <w:t>遊佐町</w:t>
            </w:r>
            <w:r>
              <w:rPr>
                <w:rFonts w:ascii="ＭＳ ゴシック" w:hAnsi="ＭＳ ゴシック" w:cs="ＭＳ ゴシック" w:eastAsia="ＭＳ ゴシック"/>
                <w:color w:val="000000"/>
                <w:kern w:val="0"/>
                <w:szCs w:val="21"/>
              </w:rPr>
              <w:t>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　      　　　　　申請者 </w:t>
            </w:r>
            <w:r>
              <w:rPr>
                <w:rFonts w:ascii="ＭＳ ゴシック" w:hAnsi="ＭＳ ゴシック" w:cs="ＭＳ ゴシック" w:eastAsia="ＭＳ ゴシック"/>
                <w:color w:val="000000"/>
                <w:kern w:val="0"/>
                <w:szCs w:val="21"/>
                <w:u w:val="single" w:color="000000"/>
              </w:rPr>
              <w:t>住　所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氏　名　　　　　　　　　　　　　印</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私は、</w:t>
            </w:r>
            <w:r>
              <w:rPr>
                <w:rFonts w:ascii="ＭＳ ゴシック" w:hAnsi="ＭＳ ゴシック" w:eastAsia="ＭＳ ゴシック" w:asciiTheme="majorEastAsia" w:eastAsiaTheme="majorEastAsia" w:hAnsiTheme="majorEastAsia"/>
                <w:color w:val="000000"/>
                <w:kern w:val="0"/>
              </w:rPr>
              <w:t>表に</w:t>
            </w:r>
            <w:r>
              <w:rPr>
                <w:rFonts w:ascii="ＭＳ ゴシック" w:hAnsi="ＭＳ ゴシック" w:cs="ＭＳ ゴシック" w:eastAsia="ＭＳ ゴシック"/>
                <w:color w:val="000000"/>
                <w:kern w:val="0"/>
                <w:szCs w:val="21"/>
              </w:rPr>
              <w:t>記載する業を営んでいるが、下記のとおり、</w:t>
            </w:r>
            <w:r>
              <w:rPr>
                <w:rFonts w:ascii="ＭＳ ゴシック" w:hAnsi="ＭＳ ゴシック" w:cs="ＭＳ ゴシック" w:eastAsia="ＭＳ ゴシック"/>
                <w:color w:val="000000"/>
                <w:kern w:val="0"/>
                <w:szCs w:val="21"/>
                <w:u w:val="single"/>
              </w:rPr>
              <w:t>　　　　　（注２）</w:t>
            </w:r>
            <w:r>
              <w:rPr>
                <w:rFonts w:ascii="ＭＳ ゴシック" w:hAnsi="ＭＳ ゴシック" w:cs="ＭＳ ゴシック" w:eastAsia="ＭＳ ゴシック"/>
                <w:color w:val="000000"/>
                <w:kern w:val="0"/>
                <w:szCs w:val="21"/>
              </w:rPr>
              <w:t>が生じているため、経営の安定に支障が生じておりますので、中小企業信用保険法第２条第５項第５号の規定に基づき認定されるようお願いします。</w:t>
            </w:r>
          </w:p>
          <w:p>
            <w:pPr>
              <w:pStyle w:val="NoteHeading"/>
              <w:rPr/>
            </w:pPr>
            <w:r>
              <w:rPr/>
              <w:t>記</w:t>
            </w:r>
          </w:p>
          <w:p>
            <w:pPr>
              <w:pStyle w:val="Closing"/>
              <w:jc w:val="left"/>
              <w:rPr/>
            </w:pPr>
            <w:r>
              <w:rPr/>
              <w:t>（表</w:t>
            </w:r>
            <w:r>
              <w:rPr/>
              <w:t>)</w:t>
            </w:r>
          </w:p>
          <w:tbl>
            <w:tblPr>
              <w:tblW w:w="9568" w:type="dxa"/>
              <w:jc w:val="left"/>
              <w:tblInd w:w="0"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78" w:type="dxa"/>
                <w:bottom w:w="0" w:type="dxa"/>
                <w:right w:w="108" w:type="dxa"/>
              </w:tblCellMar>
              <w:tblLook w:firstRow="1" w:noVBand="1" w:lastRow="0" w:firstColumn="1" w:lastColumn="0" w:noHBand="0" w:val="04a0"/>
            </w:tblPr>
            <w:tblGrid>
              <w:gridCol w:w="3189"/>
              <w:gridCol w:w="3189"/>
              <w:gridCol w:w="3190"/>
            </w:tblGrid>
            <w:tr>
              <w:trPr>
                <w:trHeight w:val="359" w:hRule="atLeast"/>
              </w:trPr>
              <w:tc>
                <w:tcPr>
                  <w:tcW w:w="3189"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189"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r>
              <w:trPr>
                <w:trHeight w:val="375" w:hRule="atLeast"/>
              </w:trPr>
              <w:tc>
                <w:tcPr>
                  <w:tcW w:w="3189"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bl>
          <w:p>
            <w:pPr>
              <w:pStyle w:val="Normal"/>
              <w:suppressAutoHyphens w:val="true"/>
              <w:overflowPunct w:val="true"/>
              <w:spacing w:lineRule="exact" w:line="240"/>
              <w:ind w:left="88" w:hanging="2"/>
              <w:jc w:val="left"/>
              <w:textAlignment w:val="baseline"/>
              <w:rPr>
                <w:rFonts w:ascii="ＭＳ ゴシック" w:hAnsi="ＭＳ ゴシック" w:eastAsia="ＭＳ ゴシック"/>
                <w:color w:val="000000"/>
                <w:spacing w:val="16"/>
                <w:kern w:val="0"/>
                <w:szCs w:val="21"/>
              </w:rPr>
            </w:pPr>
            <w:r>
              <w:rPr>
                <w:rFonts w:ascii="ＭＳ ゴシック" w:hAnsi="ＭＳ ゴシック" w:eastAsia="ＭＳ ゴシック"/>
                <w:color w:val="000000"/>
                <w:spacing w:val="16"/>
                <w:kern w:val="0"/>
                <w:szCs w:val="21"/>
              </w:rPr>
              <w:t>※</w:t>
            </w:r>
            <w:r>
              <w:rPr>
                <w:rFonts w:ascii="ＭＳ ゴシック" w:hAnsi="ＭＳ ゴシック" w:eastAsia="ＭＳ ゴシック"/>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eastAsia="ＭＳ ゴシック"/>
                <w:color w:val="000000"/>
                <w:spacing w:val="16"/>
                <w:kern w:val="0"/>
                <w:szCs w:val="21"/>
              </w:rPr>
              <w:t>（１）前年の企業全体の売上高等に対する、上記の表に記載した指定業種（以下同じ。）に属する事業の売上高等の減少額等の割合</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 xml:space="preserve"> Ｂ－Ａ</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　　  Ｄ   </w:t>
            </w:r>
            <w:r>
              <w:rPr>
                <w:rFonts w:eastAsia="ＭＳ ゴシック" w:cs="ＭＳ ゴシック" w:ascii="ＭＳ ゴシック" w:hAnsi="ＭＳ ゴシック"/>
                <w:color w:val="000000"/>
                <w:kern w:val="0"/>
                <w:szCs w:val="21"/>
              </w:rPr>
              <w:t xml:space="preserve">×100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割合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Ａ：申込時点における最近３か月間の指定業種に属する事業の売上高等</w:t>
            </w:r>
            <w:r>
              <w:rPr>
                <w:rFonts w:ascii="ＭＳ ゴシック" w:hAnsi="ＭＳ ゴシック" w:eastAsia="ＭＳ ゴシック"/>
                <w:color w:val="000000"/>
                <w:spacing w:val="16"/>
                <w:kern w:val="0"/>
                <w:szCs w:val="21"/>
              </w:rPr>
              <w:t>　</w:t>
            </w:r>
            <w:r>
              <w:rPr>
                <w:rFonts w:ascii="ＭＳ ゴシック" w:hAnsi="ＭＳ ゴシック" w:eastAsia="ＭＳ ゴシック"/>
                <w:color w:val="000000"/>
                <w:spacing w:val="16"/>
                <w:kern w:val="0"/>
                <w:szCs w:val="21"/>
                <w:u w:val="single"/>
              </w:rPr>
              <w:t>　　　　　　　　</w:t>
            </w:r>
            <w:r>
              <w:rPr>
                <w:rFonts w:ascii="ＭＳ ゴシック" w:hAnsi="ＭＳ ゴシック" w:eastAsia="ＭＳ ゴシック"/>
                <w:color w:val="000000"/>
                <w:spacing w:val="16"/>
                <w:kern w:val="0"/>
                <w:szCs w:val="21"/>
              </w:rPr>
              <w:t>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Ｂ：Ａの期間に対応する前年の３か月間の指定業種に属する事業の売上高等</w:t>
            </w:r>
            <w:r>
              <w:rPr>
                <w:rFonts w:ascii="ＭＳ ゴシック" w:hAnsi="ＭＳ ゴシック" w:cs="ＭＳ ゴシック" w:eastAsia="ＭＳ ゴシック"/>
                <w:color w:val="000000"/>
                <w:kern w:val="0"/>
                <w:szCs w:val="21"/>
                <w:u w:val="single" w:color="000000"/>
              </w:rPr>
              <w:t>　　 　　　　　　円</w:t>
            </w:r>
          </w:p>
          <w:p>
            <w:pPr>
              <w:pStyle w:val="Normal"/>
              <w:suppressAutoHyphens w:val="true"/>
              <w:overflowPunct w:val="true"/>
              <w:spacing w:lineRule="atLeast" w:line="274"/>
              <w:jc w:val="left"/>
              <w:textAlignment w:val="baseline"/>
              <w:rPr>
                <w:rFonts w:ascii="ＭＳ ゴシック" w:hAnsi="ＭＳ ゴシック"/>
                <w:color w:val="000000"/>
                <w:kern w:val="0"/>
              </w:rPr>
            </w:pPr>
            <w:r>
              <w:rPr>
                <w:rFonts w:ascii="ＭＳ ゴシック" w:hAnsi="ＭＳ ゴシック" w:cs="ＭＳ ゴシック" w:eastAsia="ＭＳ ゴシック"/>
                <w:color w:val="000000"/>
                <w:kern w:val="0"/>
                <w:szCs w:val="21"/>
              </w:rPr>
              <w:t xml:space="preserve">　　Ｄ：Ａの期間に対応する前年の３か月間の全体の売上高等  　　　　　　 </w:t>
            </w:r>
            <w:r>
              <w:rPr>
                <w:rFonts w:ascii="ＭＳ ゴシック" w:hAnsi="ＭＳ ゴシック" w:cs="ＭＳ ゴシック" w:eastAsia="ＭＳ ゴシック"/>
                <w:color w:val="000000"/>
                <w:kern w:val="0"/>
                <w:szCs w:val="21"/>
                <w:u w:val="single"/>
              </w:rPr>
              <w:t xml:space="preserve">           　　   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eastAsia="ＭＳ ゴシック"/>
                <w:color w:val="000000"/>
                <w:spacing w:val="16"/>
                <w:kern w:val="0"/>
                <w:szCs w:val="21"/>
              </w:rPr>
              <w:t>（２）企業全体の売上高等の減少率</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u w:val="single"/>
              </w:rPr>
            </w:pPr>
            <w:r>
              <w:rPr>
                <w:rFonts w:ascii="ＭＳ ゴシック" w:hAnsi="ＭＳ ゴシック" w:eastAsia="ＭＳ ゴシック"/>
                <w:color w:val="000000"/>
                <w:spacing w:val="16"/>
                <w:kern w:val="0"/>
                <w:szCs w:val="21"/>
              </w:rPr>
              <w:t>　　　　</w:t>
            </w:r>
            <w:r>
              <w:rPr>
                <w:rFonts w:ascii="ＭＳ ゴシック" w:hAnsi="ＭＳ ゴシック" w:eastAsia="ＭＳ ゴシック"/>
                <w:color w:val="000000"/>
                <w:spacing w:val="16"/>
                <w:kern w:val="0"/>
                <w:szCs w:val="21"/>
                <w:u w:val="single"/>
              </w:rPr>
              <w:t>Ｄ－Ｃ</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u w:val="single"/>
              </w:rPr>
            </w:pPr>
            <w:r>
              <w:rPr>
                <w:rFonts w:ascii="ＭＳ ゴシック" w:hAnsi="ＭＳ ゴシック" w:eastAsia="ＭＳ ゴシック"/>
                <w:color w:val="000000"/>
                <w:spacing w:val="16"/>
                <w:kern w:val="0"/>
                <w:szCs w:val="21"/>
              </w:rPr>
              <w:t>　　　　　Ｄ　　</w:t>
            </w:r>
            <w:r>
              <w:rPr>
                <w:rFonts w:eastAsia="ＭＳ ゴシック" w:ascii="ＭＳ ゴシック" w:hAnsi="ＭＳ ゴシック"/>
                <w:color w:val="000000"/>
                <w:spacing w:val="16"/>
                <w:kern w:val="0"/>
                <w:szCs w:val="21"/>
              </w:rPr>
              <w:t>×100</w:t>
            </w:r>
            <w:r>
              <w:rPr>
                <w:rFonts w:ascii="ＭＳ ゴシック" w:hAnsi="ＭＳ ゴシック" w:eastAsia="ＭＳ ゴシック"/>
                <w:color w:val="000000"/>
                <w:spacing w:val="16"/>
                <w:kern w:val="0"/>
                <w:szCs w:val="21"/>
              </w:rPr>
              <w:t>　　　　　　　　　　</w:t>
            </w:r>
            <w:r>
              <w:rPr>
                <w:rFonts w:ascii="ＭＳ ゴシック" w:hAnsi="ＭＳ ゴシック" w:eastAsia="ＭＳ ゴシック"/>
                <w:color w:val="000000"/>
                <w:spacing w:val="16"/>
                <w:kern w:val="0"/>
                <w:szCs w:val="21"/>
                <w:u w:val="single"/>
              </w:rPr>
              <w:t>減少率　　　　％</w:t>
            </w:r>
          </w:p>
          <w:p>
            <w:pPr>
              <w:pStyle w:val="Normal"/>
              <w:suppressAutoHyphens w:val="true"/>
              <w:overflowPunct w:val="true"/>
              <w:spacing w:lineRule="atLeast" w:line="274"/>
              <w:jc w:val="left"/>
              <w:textAlignment w:val="baseline"/>
              <w:rPr>
                <w:rFonts w:ascii="ＭＳ ゴシック" w:hAnsi="ＭＳ ゴシック"/>
                <w:color w:val="000000"/>
                <w:spacing w:val="16"/>
                <w:kern w:val="0"/>
              </w:rPr>
            </w:pPr>
            <w:r>
              <w:rPr>
                <w:rFonts w:ascii="ＭＳ ゴシック" w:hAnsi="ＭＳ ゴシック" w:eastAsia="ＭＳ ゴシック"/>
                <w:color w:val="000000"/>
                <w:spacing w:val="16"/>
                <w:kern w:val="0"/>
                <w:szCs w:val="21"/>
              </w:rPr>
              <w:t>　　Ｃ：Ａの期間の全体の売上高等</w:t>
            </w:r>
            <w:r>
              <w:rPr>
                <w:rFonts w:ascii="ＭＳ ゴシック" w:hAnsi="ＭＳ ゴシック" w:eastAsia="ＭＳ ゴシック"/>
                <w:color w:val="000000"/>
                <w:spacing w:val="16"/>
                <w:kern w:val="0"/>
                <w:szCs w:val="21"/>
                <w:u w:val="single"/>
              </w:rPr>
              <w:t>　　　　　　　円</w:t>
            </w:r>
          </w:p>
          <w:p>
            <w:pPr>
              <w:pStyle w:val="Normal"/>
              <w:suppressAutoHyphens w:val="true"/>
              <w:overflowPunct w:val="true"/>
              <w:spacing w:lineRule="atLeast" w:line="274"/>
              <w:ind w:firstLine="480"/>
              <w:jc w:val="left"/>
              <w:textAlignment w:val="baseline"/>
              <w:rPr>
                <w:rFonts w:ascii="ＭＳ ゴシック" w:hAnsi="ＭＳ ゴシック" w:eastAsia="ＭＳ ゴシック"/>
                <w:color w:val="000000"/>
                <w:spacing w:val="16"/>
                <w:kern w:val="0"/>
                <w:szCs w:val="21"/>
              </w:rPr>
            </w:pPr>
            <w:r>
              <mc:AlternateContent>
                <mc:Choice Requires="wps">
                  <w:drawing>
                    <wp:anchor behindDoc="0" distT="0" distB="0" distL="114300" distR="113665" simplePos="0" locked="0" layoutInCell="1" allowOverlap="1" relativeHeight="2">
                      <wp:simplePos x="0" y="0"/>
                      <wp:positionH relativeFrom="column">
                        <wp:posOffset>-6350</wp:posOffset>
                      </wp:positionH>
                      <wp:positionV relativeFrom="paragraph">
                        <wp:posOffset>297815</wp:posOffset>
                      </wp:positionV>
                      <wp:extent cx="6282055" cy="1402715"/>
                      <wp:effectExtent l="5080" t="7620" r="9525" b="5715"/>
                      <wp:wrapNone/>
                      <wp:docPr id="1" name="Text Box 2"/>
                      <a:graphic xmlns:a="http://schemas.openxmlformats.org/drawingml/2006/main">
                        <a:graphicData uri="http://schemas.microsoft.com/office/word/2010/wordprocessingShape">
                          <wps:wsp>
                            <wps:cNvSpPr/>
                            <wps:spPr>
                              <a:xfrm>
                                <a:off x="0" y="0"/>
                                <a:ext cx="6281280" cy="1402200"/>
                              </a:xfrm>
                              <a:prstGeom prst="rect">
                                <a:avLst/>
                              </a:prstGeom>
                              <a:noFill/>
                              <a:ln w="9360">
                                <a:solidFill>
                                  <a:srgbClr val="ffffff"/>
                                </a:solidFill>
                                <a:miter/>
                              </a:ln>
                            </wps:spPr>
                            <wps:style>
                              <a:lnRef idx="0"/>
                              <a:fillRef idx="0"/>
                              <a:effectRef idx="0"/>
                              <a:fontRef idx="minor"/>
                            </wps:style>
                            <wps:txbx>
                              <w:txbxContent>
                                <w:p>
                                  <w:pPr>
                                    <w:pStyle w:val="Style28"/>
                                    <w:suppressAutoHyphens w:val="true"/>
                                    <w:overflowPunct w:val="true"/>
                                    <w:spacing w:lineRule="exact" w:line="240"/>
                                    <w:ind w:left="844" w:hanging="983"/>
                                    <w:jc w:val="left"/>
                                    <w:textAlignment w:val="baseline"/>
                                    <w:rPr>
                                      <w:rFonts w:ascii="ＭＳ ゴシック" w:hAnsi="ＭＳ ゴシック" w:eastAsia="ＭＳ ゴシック"/>
                                      <w:color w:val="000000"/>
                                      <w:spacing w:val="16"/>
                                      <w:kern w:val="0"/>
                                      <w:szCs w:val="21"/>
                                    </w:rPr>
                                  </w:pPr>
                                  <w:r>
                                    <w:rPr>
                                      <w:rFonts w:ascii="ＭＳ ゴシック" w:hAnsi="ＭＳ ゴシック" w:eastAsia="ＭＳ ゴシック"/>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Style28"/>
                                    <w:suppressAutoHyphens w:val="true"/>
                                    <w:overflowPunct w:val="true"/>
                                    <w:spacing w:lineRule="exact" w:line="240"/>
                                    <w:ind w:left="714" w:hanging="853"/>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（注２）</w:t>
                                  </w:r>
                                  <w:r>
                                    <w:rPr>
                                      <w:rFonts w:ascii="ＭＳ ゴシック" w:hAnsi="ＭＳ ゴシック" w:cs="ＭＳ ゴシック" w:eastAsia="ＭＳ ゴシック"/>
                                      <w:color w:val="000000"/>
                                      <w:kern w:val="0"/>
                                      <w:szCs w:val="21"/>
                                      <w:u w:val="single"/>
                                    </w:rPr>
                                    <w:t>　　　　　</w:t>
                                  </w:r>
                                  <w:r>
                                    <w:rPr>
                                      <w:rFonts w:ascii="ＭＳ ゴシック" w:hAnsi="ＭＳ ゴシック" w:cs="ＭＳ ゴシック" w:eastAsia="ＭＳ ゴシック"/>
                                      <w:color w:val="000000"/>
                                      <w:kern w:val="0"/>
                                      <w:szCs w:val="21"/>
                                    </w:rPr>
                                    <w:t>には、「販売数量の減少」又は「売上高の減少」等を入れる。</w:t>
                                  </w:r>
                                </w:p>
                                <w:p>
                                  <w:pPr>
                                    <w:pStyle w:val="Style28"/>
                                    <w:suppressAutoHyphens w:val="true"/>
                                    <w:spacing w:lineRule="exact" w:line="240"/>
                                    <w:ind w:left="1230" w:hanging="123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（留意事項）</w:t>
                                  </w:r>
                                </w:p>
                                <w:p>
                                  <w:pPr>
                                    <w:pStyle w:val="Style28"/>
                                    <w:suppressAutoHyphens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①　本認定とは別に、金融機関及び信用保証協会による金融上の審査があります。</w:t>
                                  </w:r>
                                </w:p>
                                <w:p>
                                  <w:pPr>
                                    <w:pStyle w:val="Style28"/>
                                    <w:suppressAutoHyphens w:val="true"/>
                                    <w:spacing w:lineRule="exact" w:line="240"/>
                                    <w:ind w:left="492" w:hanging="492"/>
                                    <w:jc w:val="left"/>
                                    <w:textAlignment w:val="baseline"/>
                                    <w:rPr/>
                                  </w:pPr>
                                  <w:r>
                                    <w:rPr>
                                      <w:rFonts w:ascii="ＭＳ ゴシック" w:hAnsi="ＭＳ ゴシック" w:cs="ＭＳ ゴシック" w:eastAsia="ＭＳ ゴシック"/>
                                      <w:color w:val="000000"/>
                                      <w:kern w:val="0"/>
                                      <w:szCs w:val="21"/>
                                    </w:rPr>
                                    <w:t>　②　市町村長又は特別区長から認定を受けた後、本認定の有効期間内に金融機関又は信用保証協会に対して、経営安定関連保証の申込みを行うことが必要です。</w:t>
                                  </w:r>
                                </w:p>
                              </w:txbxContent>
                            </wps:txbx>
                            <wps:bodyPr>
                              <a:spAutoFit/>
                            </wps:bodyPr>
                          </wps:wsp>
                        </a:graphicData>
                      </a:graphic>
                      <wp14:sizeRelV relativeFrom="margin">
                        <wp14:pctHeight>20000</wp14:pctHeight>
                      </wp14:sizeRelV>
                    </wp:anchor>
                  </w:drawing>
                </mc:Choice>
                <mc:Fallback>
                  <w:pict>
                    <v:rect id="shape_0" ID="Text Box 2" stroked="t" style="position:absolute;margin-left:-0.5pt;margin-top:23.45pt;width:494.55pt;height:110.35pt">
                      <w10:wrap type="square"/>
                      <v:fill o:detectmouseclick="t" on="false"/>
                      <v:stroke color="white" weight="9360" joinstyle="miter" endcap="flat"/>
                      <v:textbox>
                        <w:txbxContent>
                          <w:p>
                            <w:pPr>
                              <w:pStyle w:val="Style28"/>
                              <w:suppressAutoHyphens w:val="true"/>
                              <w:overflowPunct w:val="true"/>
                              <w:spacing w:lineRule="exact" w:line="240"/>
                              <w:ind w:left="844" w:hanging="983"/>
                              <w:jc w:val="left"/>
                              <w:textAlignment w:val="baseline"/>
                              <w:rPr>
                                <w:rFonts w:ascii="ＭＳ ゴシック" w:hAnsi="ＭＳ ゴシック" w:eastAsia="ＭＳ ゴシック"/>
                                <w:color w:val="000000"/>
                                <w:spacing w:val="16"/>
                                <w:kern w:val="0"/>
                                <w:szCs w:val="21"/>
                              </w:rPr>
                            </w:pPr>
                            <w:r>
                              <w:rPr>
                                <w:rFonts w:ascii="ＭＳ ゴシック" w:hAnsi="ＭＳ ゴシック" w:eastAsia="ＭＳ ゴシック"/>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Style28"/>
                              <w:suppressAutoHyphens w:val="true"/>
                              <w:overflowPunct w:val="true"/>
                              <w:spacing w:lineRule="exact" w:line="240"/>
                              <w:ind w:left="714" w:hanging="853"/>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（注２）</w:t>
                            </w:r>
                            <w:r>
                              <w:rPr>
                                <w:rFonts w:ascii="ＭＳ ゴシック" w:hAnsi="ＭＳ ゴシック" w:cs="ＭＳ ゴシック" w:eastAsia="ＭＳ ゴシック"/>
                                <w:color w:val="000000"/>
                                <w:kern w:val="0"/>
                                <w:szCs w:val="21"/>
                                <w:u w:val="single"/>
                              </w:rPr>
                              <w:t>　　　　　</w:t>
                            </w:r>
                            <w:r>
                              <w:rPr>
                                <w:rFonts w:ascii="ＭＳ ゴシック" w:hAnsi="ＭＳ ゴシック" w:cs="ＭＳ ゴシック" w:eastAsia="ＭＳ ゴシック"/>
                                <w:color w:val="000000"/>
                                <w:kern w:val="0"/>
                                <w:szCs w:val="21"/>
                              </w:rPr>
                              <w:t>には、「販売数量の減少」又は「売上高の減少」等を入れる。</w:t>
                            </w:r>
                          </w:p>
                          <w:p>
                            <w:pPr>
                              <w:pStyle w:val="Style28"/>
                              <w:suppressAutoHyphens w:val="true"/>
                              <w:spacing w:lineRule="exact" w:line="240"/>
                              <w:ind w:left="1230" w:hanging="123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（留意事項）</w:t>
                            </w:r>
                          </w:p>
                          <w:p>
                            <w:pPr>
                              <w:pStyle w:val="Style28"/>
                              <w:suppressAutoHyphens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①　本認定とは別に、金融機関及び信用保証協会による金融上の審査があります。</w:t>
                            </w:r>
                          </w:p>
                          <w:p>
                            <w:pPr>
                              <w:pStyle w:val="Style28"/>
                              <w:suppressAutoHyphens w:val="true"/>
                              <w:spacing w:lineRule="exact" w:line="240"/>
                              <w:ind w:left="492" w:hanging="492"/>
                              <w:jc w:val="left"/>
                              <w:textAlignment w:val="baseline"/>
                              <w:rPr/>
                            </w:pPr>
                            <w:r>
                              <w:rPr>
                                <w:rFonts w:ascii="ＭＳ ゴシック" w:hAnsi="ＭＳ ゴシック" w:cs="ＭＳ ゴシック" w:eastAsia="ＭＳ ゴシック"/>
                                <w:color w:val="000000"/>
                                <w:kern w:val="0"/>
                                <w:szCs w:val="21"/>
                              </w:rPr>
                              <w:t>　②　市町村長又は特別区長から認定を受けた後、本認定の有効期間内に金融機関又は信用保証協会に対して、経営安定関連保証の申込みを行うことが必要です。</w:t>
                            </w:r>
                          </w:p>
                        </w:txbxContent>
                      </v:textbox>
                    </v:rect>
                  </w:pict>
                </mc:Fallback>
              </mc:AlternateContent>
            </w:r>
            <w:r>
              <w:rPr>
                <w:rFonts w:ascii="ＭＳ ゴシック" w:hAnsi="ＭＳ ゴシック" w:eastAsia="ＭＳ ゴシック"/>
                <w:color w:val="000000"/>
                <w:spacing w:val="16"/>
                <w:kern w:val="0"/>
                <w:szCs w:val="21"/>
              </w:rPr>
              <w:t>Ｄ：Ａの期間に対応する前年の３か月間の全体の売上高等</w:t>
            </w:r>
            <w:r>
              <w:rPr>
                <w:rFonts w:ascii="ＭＳ ゴシック" w:hAnsi="ＭＳ ゴシック" w:eastAsia="ＭＳ ゴシック"/>
                <w:color w:val="000000"/>
                <w:spacing w:val="16"/>
                <w:kern w:val="0"/>
                <w:szCs w:val="21"/>
                <w:u w:val="single"/>
              </w:rPr>
              <w:t>　　　　　　　円</w:t>
            </w:r>
          </w:p>
        </w:tc>
      </w:tr>
    </w:tbl>
    <w:p>
      <w:pPr>
        <w:pStyle w:val="Normal"/>
        <w:suppressAutoHyphens w:val="true"/>
        <w:spacing w:lineRule="atLeast" w:line="366"/>
        <w:jc w:val="right"/>
        <w:rPr/>
      </w:pPr>
      <w:r>
        <w:rPr/>
        <mc:AlternateContent>
          <mc:Choice Requires="wpg">
            <w:drawing>
              <wp:anchor behindDoc="0" distT="0" distB="0" distL="114300" distR="114300" simplePos="0" locked="0" layoutInCell="1" allowOverlap="1" relativeHeight="3">
                <wp:simplePos x="0" y="0"/>
                <wp:positionH relativeFrom="column">
                  <wp:posOffset>-44450</wp:posOffset>
                </wp:positionH>
                <wp:positionV relativeFrom="paragraph">
                  <wp:posOffset>1415415</wp:posOffset>
                </wp:positionV>
                <wp:extent cx="6283960" cy="1707515"/>
                <wp:effectExtent l="0" t="12065" r="6350" b="0"/>
                <wp:wrapNone/>
                <wp:docPr id="3" name="Group 4"/>
                <a:graphic xmlns:a="http://schemas.openxmlformats.org/drawingml/2006/main">
                  <a:graphicData uri="http://schemas.microsoft.com/office/word/2010/wordprocessingGroup">
                    <wpg:wgp>
                      <wpg:cNvGrpSpPr/>
                      <wpg:grpSpPr>
                        <a:xfrm>
                          <a:off x="0" y="0"/>
                          <a:ext cx="6283440" cy="1706760"/>
                        </a:xfrm>
                      </wpg:grpSpPr>
                      <wps:wsp>
                        <wps:cNvSpPr/>
                        <wps:spPr>
                          <a:xfrm>
                            <a:off x="0" y="87480"/>
                            <a:ext cx="6283440" cy="1619280"/>
                          </a:xfrm>
                          <a:prstGeom prst="rect">
                            <a:avLst/>
                          </a:prstGeom>
                          <a:solidFill>
                            <a:srgbClr val="ffffff"/>
                          </a:solidFill>
                          <a:ln>
                            <a:noFill/>
                          </a:ln>
                        </wps:spPr>
                        <wps:style>
                          <a:lnRef idx="0"/>
                          <a:fillRef idx="0"/>
                          <a:effectRef idx="0"/>
                          <a:fontRef idx="minor"/>
                        </wps:style>
                        <wps:txbx>
                          <w:txbxContent>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産第　　　　　　号</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年　　月　　日</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申請のとおり、相違ないことを認定します。</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（注）本認定書の有効期間：　　　　年　　月　　日から　　　　年　　月　　日まで</w:t>
                              </w:r>
                            </w:p>
                            <w:p>
                              <w:pPr>
                                <w:overflowPunct w:val="false"/>
                                <w:spacing w:before="0" w:after="0" w:lineRule="auto" w:line="36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p>
                            <w:p>
                              <w:pPr>
                                <w:overflowPunct w:val="false"/>
                                <w:spacing w:before="0" w:after="0" w:lineRule="auto" w:line="240"/>
                                <w:jc w:val="left"/>
                                <w:rPr/>
                              </w:pPr>
                              <w:r>
                                <w:rPr>
                                  <w:u w:val="none"/>
                                  <w:dstrike w:val="false"/>
                                  <w:strike w:val="false"/>
                                  <w:vertAlign w:val="baseline"/>
                                  <w:position w:val="0"/>
                                  <w:sz w:val="21"/>
                                  <w:spacing w:val="0"/>
                                  <w:sz w:val="21"/>
                                  <w:szCs w:val="21"/>
                                  <w:b w:val="false"/>
                                  <w:bCs w:val="false"/>
                                  <w:i w:val="false"/>
                                  <w:iCs w:val="false"/>
                                  <w:smallCaps w:val="false"/>
                                  <w:caps w:val="false"/>
                                </w:rPr>
                                <w:t>　　　　　　　　　　　　　　　　　　　　　　　　　遊佐町長　時田　博機</w:t>
                              </w:r>
                            </w:p>
                          </w:txbxContent>
                        </wps:txbx>
                        <wps:bodyPr lIns="74160" rIns="74160" tIns="9000" bIns="9000">
                          <a:noAutofit/>
                        </wps:bodyPr>
                      </wps:wsp>
                      <wps:wsp>
                        <wps:cNvSpPr/>
                        <wps:spPr>
                          <a:xfrm>
                            <a:off x="57240" y="0"/>
                            <a:ext cx="6226200" cy="720"/>
                          </a:xfrm>
                          <a:custGeom>
                            <a:avLst/>
                            <a:gdLst/>
                            <a:ahLst/>
                            <a:rect l="l" t="t" r="r" b="b"/>
                            <a:pathLst>
                              <a:path w="21600" h="21600">
                                <a:moveTo>
                                  <a:pt x="0" y="0"/>
                                </a:moveTo>
                                <a:lnTo>
                                  <a:pt x="21600" y="21600"/>
                                </a:lnTo>
                              </a:path>
                            </a:pathLst>
                          </a:custGeom>
                          <a:noFill/>
                          <a:ln cap="rnd" w="12600">
                            <a:solidFill>
                              <a:srgbClr val="000000"/>
                            </a:solidFill>
                            <a:custDash>
                              <a:ds d="400000" sp="300000"/>
                            </a:custDash>
                            <a:round/>
                          </a:ln>
                        </wps:spPr>
                        <wps:style>
                          <a:lnRef idx="0"/>
                          <a:fillRef idx="0"/>
                          <a:effectRef idx="0"/>
                          <a:fontRef idx="minor"/>
                        </wps:style>
                        <wps:bodyPr/>
                      </wps:wsp>
                    </wpg:wgp>
                  </a:graphicData>
                </a:graphic>
              </wp:anchor>
            </w:drawing>
          </mc:Choice>
          <mc:Fallback>
            <w:pict>
              <v:group id="shape_0" alt="Group 4" style="position:absolute;margin-left:-3.5pt;margin-top:111.45pt;width:494.75pt;height:134.4pt" coordorigin="-70,2229" coordsize="9895,2688">
                <v:rect id="shape_0" ID="Rectangle 5" fillcolor="white" stroked="f" style="position:absolute;left:-70;top:2367;width:9894;height:2549">
                  <v:textbox>
                    <w:txbxContent>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産第　　　　　　号</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年　　月　　日</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申請のとおり、相違ないことを認定します。</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（注）本認定書の有効期間：　　　　年　　月　　日から　　　　年　　月　　日まで</w:t>
                        </w:r>
                      </w:p>
                      <w:p>
                        <w:pPr>
                          <w:overflowPunct w:val="false"/>
                          <w:spacing w:before="0" w:after="0" w:lineRule="auto" w:line="36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p>
                      <w:p>
                        <w:pPr>
                          <w:overflowPunct w:val="false"/>
                          <w:spacing w:before="0" w:after="0" w:lineRule="auto" w:line="240"/>
                          <w:jc w:val="left"/>
                          <w:rPr/>
                        </w:pPr>
                        <w:r>
                          <w:rPr>
                            <w:u w:val="none"/>
                            <w:dstrike w:val="false"/>
                            <w:strike w:val="false"/>
                            <w:vertAlign w:val="baseline"/>
                            <w:position w:val="0"/>
                            <w:sz w:val="21"/>
                            <w:spacing w:val="0"/>
                            <w:sz w:val="21"/>
                            <w:szCs w:val="21"/>
                            <w:b w:val="false"/>
                            <w:bCs w:val="false"/>
                            <w:i w:val="false"/>
                            <w:iCs w:val="false"/>
                            <w:smallCaps w:val="false"/>
                            <w:caps w:val="false"/>
                          </w:rPr>
                          <w:t>　　　　　　　　　　　　　　　　　　　　　　　　　遊佐町長　時田　博機</w:t>
                        </w:r>
                      </w:p>
                    </w:txbxContent>
                  </v:textbox>
                  <w10:wrap type="square"/>
                  <v:fill o:detectmouseclick="t" type="solid" color2="black"/>
                  <v:stroke color="#3465a4" joinstyle="round" endcap="flat"/>
                </v:rect>
                <v:shapetype id="shapetype_32" coordsize="21600,21600" o:spt="32" path="m,l21600,21600nfe">
                  <v:stroke joinstyle="miter"/>
                  <v:path gradientshapeok="t" o:connecttype="rect" textboxrect="0,0,21600,21600"/>
                </v:shapetype>
                <v:shape id="shape_0" ID="AutoShape 6" stroked="t" style="position:absolute;left:20;top:2229;width:9804;height:0" type="shapetype_32">
                  <w10:wrap type="none"/>
                  <v:fill o:detectmouseclick="t" on="false"/>
                  <v:stroke color="black" weight="12600" dashstyle="dash" joinstyle="round" endcap="round"/>
                </v:shape>
              </v:group>
            </w:pict>
          </mc:Fallback>
        </mc:AlternateContent>
      </w:r>
    </w:p>
    <w:sectPr>
      <w:type w:val="nextPage"/>
      <w:pgSz w:w="11906" w:h="16838"/>
      <w:pgMar w:left="1701" w:right="1701" w:header="0" w:top="567" w:footer="0" w:bottom="567"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30d4"/>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1">
    <w:name w:val="Heading 1"/>
    <w:basedOn w:val="Normal"/>
    <w:link w:val="10"/>
    <w:uiPriority w:val="9"/>
    <w:qFormat/>
    <w:rsid w:val="00a830d4"/>
    <w:pPr>
      <w:keepNext w:val="true"/>
      <w:outlineLvl w:val="0"/>
    </w:pPr>
    <w:rPr>
      <w:rFonts w:ascii="Arial" w:hAnsi="Arial" w:eastAsia="ＭＳ ゴシック" w:cs="" w:asciiTheme="majorHAnsi" w:cstheme="majorBidi" w:eastAsiaTheme="majorEastAsia" w:hAnsiTheme="majorHAnsi"/>
      <w:sz w:val="24"/>
      <w:szCs w:val="24"/>
    </w:rPr>
  </w:style>
  <w:style w:type="paragraph" w:styleId="2">
    <w:name w:val="Heading 2"/>
    <w:basedOn w:val="Normal"/>
    <w:link w:val="20"/>
    <w:uiPriority w:val="9"/>
    <w:semiHidden/>
    <w:unhideWhenUsed/>
    <w:qFormat/>
    <w:rsid w:val="00a830d4"/>
    <w:pPr>
      <w:keepNext w:val="true"/>
      <w:outlineLvl w:val="1"/>
    </w:pPr>
    <w:rPr>
      <w:rFonts w:ascii="Arial" w:hAnsi="Arial" w:eastAsia="ＭＳ ゴシック"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link w:val="1"/>
    <w:uiPriority w:val="9"/>
    <w:qFormat/>
    <w:rsid w:val="00a830d4"/>
    <w:rPr>
      <w:rFonts w:ascii="Arial" w:hAnsi="Arial" w:eastAsia="ＭＳ ゴシック" w:cs="" w:asciiTheme="majorHAnsi" w:cstheme="majorBidi" w:eastAsiaTheme="majorEastAsia" w:hAnsiTheme="majorHAnsi"/>
      <w:sz w:val="24"/>
      <w:szCs w:val="24"/>
    </w:rPr>
  </w:style>
  <w:style w:type="character" w:styleId="21" w:customStyle="1">
    <w:name w:val="見出し 2 (文字)"/>
    <w:basedOn w:val="DefaultParagraphFont"/>
    <w:link w:val="2"/>
    <w:uiPriority w:val="9"/>
    <w:semiHidden/>
    <w:qFormat/>
    <w:rsid w:val="00a830d4"/>
    <w:rPr>
      <w:rFonts w:ascii="Arial" w:hAnsi="Arial" w:eastAsia="ＭＳ ゴシック" w:cs="" w:asciiTheme="majorHAnsi" w:cstheme="majorBidi" w:eastAsiaTheme="majorEastAsia" w:hAnsiTheme="majorHAnsi"/>
    </w:rPr>
  </w:style>
  <w:style w:type="character" w:styleId="Style12" w:customStyle="1">
    <w:name w:val="ヘッダー (文字)"/>
    <w:basedOn w:val="DefaultParagraphFont"/>
    <w:link w:val="a4"/>
    <w:uiPriority w:val="99"/>
    <w:qFormat/>
    <w:rsid w:val="001d602d"/>
    <w:rPr/>
  </w:style>
  <w:style w:type="character" w:styleId="Style13" w:customStyle="1">
    <w:name w:val="フッター (文字)"/>
    <w:basedOn w:val="DefaultParagraphFont"/>
    <w:link w:val="a6"/>
    <w:uiPriority w:val="99"/>
    <w:qFormat/>
    <w:rsid w:val="001d602d"/>
    <w:rPr/>
  </w:style>
  <w:style w:type="character" w:styleId="Style14" w:customStyle="1">
    <w:name w:val="吹き出し (文字)"/>
    <w:basedOn w:val="DefaultParagraphFont"/>
    <w:link w:val="a8"/>
    <w:uiPriority w:val="99"/>
    <w:semiHidden/>
    <w:qFormat/>
    <w:rsid w:val="001d602d"/>
    <w:rPr>
      <w:rFonts w:ascii="Arial" w:hAnsi="Arial" w:eastAsia="ＭＳ ゴシック" w:cs="" w:asciiTheme="majorHAnsi" w:cstheme="majorBidi" w:eastAsiaTheme="majorEastAsia" w:hAnsiTheme="majorHAnsi"/>
      <w:sz w:val="18"/>
      <w:szCs w:val="18"/>
    </w:rPr>
  </w:style>
  <w:style w:type="character" w:styleId="PlaceholderText">
    <w:name w:val="Placeholder Text"/>
    <w:basedOn w:val="DefaultParagraphFont"/>
    <w:uiPriority w:val="99"/>
    <w:semiHidden/>
    <w:qFormat/>
    <w:rsid w:val="001d602d"/>
    <w:rPr>
      <w:color w:val="808080"/>
    </w:rPr>
  </w:style>
  <w:style w:type="character" w:styleId="Annotationreference">
    <w:name w:val="annotation reference"/>
    <w:basedOn w:val="DefaultParagraphFont"/>
    <w:semiHidden/>
    <w:unhideWhenUsed/>
    <w:qFormat/>
    <w:rsid w:val="009f35f4"/>
    <w:rPr>
      <w:sz w:val="18"/>
      <w:szCs w:val="18"/>
    </w:rPr>
  </w:style>
  <w:style w:type="character" w:styleId="Style15" w:customStyle="1">
    <w:name w:val="コメント文字列 (文字)"/>
    <w:basedOn w:val="DefaultParagraphFont"/>
    <w:link w:val="ac"/>
    <w:semiHidden/>
    <w:qFormat/>
    <w:rsid w:val="009f35f4"/>
    <w:rPr/>
  </w:style>
  <w:style w:type="character" w:styleId="Style16" w:customStyle="1">
    <w:name w:val="コメント内容 (文字)"/>
    <w:basedOn w:val="Style15"/>
    <w:link w:val="ae"/>
    <w:uiPriority w:val="99"/>
    <w:semiHidden/>
    <w:qFormat/>
    <w:rsid w:val="009f35f4"/>
    <w:rPr>
      <w:b/>
      <w:bCs/>
    </w:rPr>
  </w:style>
  <w:style w:type="character" w:styleId="Pagenumber">
    <w:name w:val="page number"/>
    <w:basedOn w:val="DefaultParagraphFont"/>
    <w:qFormat/>
    <w:rsid w:val="006920e0"/>
    <w:rPr/>
  </w:style>
  <w:style w:type="character" w:styleId="Style17" w:customStyle="1">
    <w:name w:val="日付 (文字)"/>
    <w:basedOn w:val="DefaultParagraphFont"/>
    <w:link w:val="af4"/>
    <w:qFormat/>
    <w:rsid w:val="006920e0"/>
    <w:rPr>
      <w:rFonts w:ascii="Century" w:hAnsi="Century" w:eastAsia="ＭＳ 明朝" w:cs="Times New Roman"/>
      <w:szCs w:val="24"/>
    </w:rPr>
  </w:style>
  <w:style w:type="character" w:styleId="Style18" w:customStyle="1">
    <w:name w:val="書式なし (文字)"/>
    <w:basedOn w:val="DefaultParagraphFont"/>
    <w:link w:val="af6"/>
    <w:uiPriority w:val="99"/>
    <w:qFormat/>
    <w:rsid w:val="006920e0"/>
    <w:rPr>
      <w:rFonts w:ascii="ＭＳ ゴシック" w:hAnsi="ＭＳ ゴシック" w:eastAsia="ＭＳ ゴシック" w:cs="Times New Roman"/>
      <w:sz w:val="20"/>
      <w:szCs w:val="21"/>
    </w:rPr>
  </w:style>
  <w:style w:type="character" w:styleId="Style19" w:customStyle="1">
    <w:name w:val="記 (文字)"/>
    <w:basedOn w:val="DefaultParagraphFont"/>
    <w:link w:val="af8"/>
    <w:qFormat/>
    <w:rsid w:val="006920e0"/>
    <w:rPr>
      <w:rFonts w:ascii="ＭＳ ゴシック" w:hAnsi="ＭＳ ゴシック" w:eastAsia="ＭＳ ゴシック" w:cs="ＭＳ ゴシック"/>
      <w:color w:val="000000"/>
      <w:kern w:val="0"/>
      <w:szCs w:val="21"/>
    </w:rPr>
  </w:style>
  <w:style w:type="character" w:styleId="Style20" w:customStyle="1">
    <w:name w:val="結語 (文字)"/>
    <w:basedOn w:val="DefaultParagraphFont"/>
    <w:link w:val="afa"/>
    <w:qFormat/>
    <w:rsid w:val="006920e0"/>
    <w:rPr>
      <w:rFonts w:ascii="ＭＳ ゴシック" w:hAnsi="ＭＳ ゴシック" w:eastAsia="ＭＳ ゴシック" w:cs="ＭＳ ゴシック"/>
      <w:color w:val="000000"/>
      <w:kern w:val="0"/>
      <w:szCs w:val="21"/>
    </w:rPr>
  </w:style>
  <w:style w:type="paragraph" w:styleId="Style21">
    <w:name w:val="見出し"/>
    <w:basedOn w:val="Normal"/>
    <w:next w:val="Style22"/>
    <w:qFormat/>
    <w:pPr>
      <w:keepNext w:val="true"/>
      <w:spacing w:before="240" w:after="120"/>
    </w:pPr>
    <w:rPr>
      <w:rFonts w:ascii="Liberation Sans" w:hAnsi="Liberation Sans" w:eastAsia="ＭＳ ゴシック" w:cs="Ari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TOCHeading">
    <w:name w:val="TOC Heading"/>
    <w:basedOn w:val="1"/>
    <w:uiPriority w:val="39"/>
    <w:semiHidden/>
    <w:unhideWhenUsed/>
    <w:qFormat/>
    <w:rsid w:val="00a830d4"/>
    <w:pPr/>
    <w:rPr/>
  </w:style>
  <w:style w:type="paragraph" w:styleId="Style26">
    <w:name w:val="Header"/>
    <w:basedOn w:val="Normal"/>
    <w:link w:val="a5"/>
    <w:uiPriority w:val="99"/>
    <w:unhideWhenUsed/>
    <w:rsid w:val="001d602d"/>
    <w:pPr>
      <w:tabs>
        <w:tab w:val="center" w:pos="4252" w:leader="none"/>
        <w:tab w:val="right" w:pos="8504" w:leader="none"/>
      </w:tabs>
      <w:snapToGrid w:val="false"/>
    </w:pPr>
    <w:rPr/>
  </w:style>
  <w:style w:type="paragraph" w:styleId="Style27">
    <w:name w:val="Footer"/>
    <w:basedOn w:val="Normal"/>
    <w:link w:val="a7"/>
    <w:uiPriority w:val="99"/>
    <w:unhideWhenUsed/>
    <w:rsid w:val="001d602d"/>
    <w:pPr>
      <w:tabs>
        <w:tab w:val="center" w:pos="4252" w:leader="none"/>
        <w:tab w:val="right" w:pos="8504" w:leader="none"/>
      </w:tabs>
      <w:snapToGrid w:val="false"/>
    </w:pPr>
    <w:rPr/>
  </w:style>
  <w:style w:type="paragraph" w:styleId="BalloonText">
    <w:name w:val="Balloon Text"/>
    <w:basedOn w:val="Normal"/>
    <w:link w:val="a9"/>
    <w:semiHidden/>
    <w:unhideWhenUsed/>
    <w:qFormat/>
    <w:rsid w:val="001d602d"/>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semiHidden/>
    <w:unhideWhenUsed/>
    <w:qFormat/>
    <w:rsid w:val="009f35f4"/>
    <w:pPr>
      <w:jc w:val="left"/>
    </w:pPr>
    <w:rPr/>
  </w:style>
  <w:style w:type="paragraph" w:styleId="Annotationsubject">
    <w:name w:val="annotation subject"/>
    <w:basedOn w:val="Annotationtext"/>
    <w:link w:val="af"/>
    <w:semiHidden/>
    <w:unhideWhenUsed/>
    <w:qFormat/>
    <w:rsid w:val="009f35f4"/>
    <w:pPr/>
    <w:rPr>
      <w:b/>
      <w:bCs/>
    </w:rPr>
  </w:style>
  <w:style w:type="paragraph" w:styleId="Revision">
    <w:name w:val="Revision"/>
    <w:uiPriority w:val="99"/>
    <w:semiHidden/>
    <w:qFormat/>
    <w:rsid w:val="00b07fa6"/>
    <w:pPr>
      <w:widowControl/>
      <w:bidi w:val="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ListParagraph">
    <w:name w:val="List Paragraph"/>
    <w:basedOn w:val="Normal"/>
    <w:uiPriority w:val="34"/>
    <w:qFormat/>
    <w:rsid w:val="006920e0"/>
    <w:pPr>
      <w:ind w:left="840" w:hanging="0"/>
    </w:pPr>
    <w:rPr>
      <w:rFonts w:ascii="Century" w:hAnsi="Century" w:eastAsia="ＭＳ 明朝" w:cs="Times New Roman"/>
    </w:rPr>
  </w:style>
  <w:style w:type="paragraph" w:styleId="Date">
    <w:name w:val="Date"/>
    <w:basedOn w:val="Normal"/>
    <w:link w:val="af5"/>
    <w:qFormat/>
    <w:rsid w:val="006920e0"/>
    <w:pPr/>
    <w:rPr>
      <w:rFonts w:ascii="Century" w:hAnsi="Century" w:eastAsia="ＭＳ 明朝" w:cs="Times New Roman"/>
      <w:szCs w:val="24"/>
    </w:rPr>
  </w:style>
  <w:style w:type="paragraph" w:styleId="PlainText">
    <w:name w:val="Plain Text"/>
    <w:basedOn w:val="Normal"/>
    <w:link w:val="af7"/>
    <w:uiPriority w:val="99"/>
    <w:unhideWhenUsed/>
    <w:qFormat/>
    <w:rsid w:val="006920e0"/>
    <w:pPr>
      <w:jc w:val="left"/>
    </w:pPr>
    <w:rPr>
      <w:rFonts w:ascii="ＭＳ ゴシック" w:hAnsi="ＭＳ ゴシック" w:eastAsia="ＭＳ ゴシック" w:cs="Times New Roman"/>
      <w:sz w:val="20"/>
      <w:szCs w:val="21"/>
    </w:rPr>
  </w:style>
  <w:style w:type="paragraph" w:styleId="NoteHeading">
    <w:name w:val="Note Heading"/>
    <w:basedOn w:val="Normal"/>
    <w:link w:val="af9"/>
    <w:qFormat/>
    <w:rsid w:val="006920e0"/>
    <w:pPr>
      <w:jc w:val="center"/>
    </w:pPr>
    <w:rPr>
      <w:rFonts w:ascii="ＭＳ ゴシック" w:hAnsi="ＭＳ ゴシック" w:eastAsia="ＭＳ ゴシック" w:cs="ＭＳ ゴシック"/>
      <w:color w:val="000000"/>
      <w:kern w:val="0"/>
      <w:szCs w:val="21"/>
    </w:rPr>
  </w:style>
  <w:style w:type="paragraph" w:styleId="Closing">
    <w:name w:val="Closing"/>
    <w:basedOn w:val="Normal"/>
    <w:link w:val="afb"/>
    <w:qFormat/>
    <w:rsid w:val="006920e0"/>
    <w:pPr>
      <w:jc w:val="right"/>
    </w:pPr>
    <w:rPr>
      <w:rFonts w:ascii="ＭＳ ゴシック" w:hAnsi="ＭＳ ゴシック" w:eastAsia="ＭＳ ゴシック" w:cs="ＭＳ ゴシック"/>
      <w:color w:val="000000"/>
      <w:kern w:val="0"/>
      <w:szCs w:val="21"/>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rsid w:val="006920e0"/>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2D62-84F6-4081-92CE-08C0C270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LibreOffice/5.4.5.1$Windows_X86_64 LibreOffice_project/79c9829dd5d8054ec39a82dc51cd9eff340dbee8</Application>
  <Pages>1</Pages>
  <Words>750</Words>
  <Characters>756</Characters>
  <CharactersWithSpaces>1073</CharactersWithSpaces>
  <Paragraphs>28</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2019-04-04T07:15:00Z</dcterms:created>
  <dc:creator>情報システム厚生課２</dc:creator>
  <dc:description/>
  <dc:language>ja-JP</dc:language>
  <cp:lastModifiedBy/>
  <cp:lastPrinted>2012-10-16T05:41:00Z</cp:lastPrinted>
  <dcterms:modified xsi:type="dcterms:W3CDTF">2020-03-09T13:35:52Z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